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E64" w:rsidRDefault="0027741D">
      <w:pPr>
        <w:jc w:val="right"/>
        <w:rPr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1</w:t>
      </w:r>
    </w:p>
    <w:p w:rsidR="00007E64" w:rsidRDefault="0027741D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SPECIFICHE TECNICHE LOTTO N.1</w:t>
      </w:r>
    </w:p>
    <w:p w:rsidR="00007E64" w:rsidRDefault="00007E64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7E64" w:rsidRDefault="005D085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Fotometro a fiamma + accessori per </w:t>
      </w:r>
      <w:r w:rsidRPr="005D0854">
        <w:rPr>
          <w:rFonts w:ascii="Times New Roman" w:eastAsia="Calibri" w:hAnsi="Times New Roman" w:cs="Times New Roman"/>
          <w:color w:val="000000"/>
          <w:sz w:val="24"/>
          <w:szCs w:val="24"/>
        </w:rPr>
        <w:t>la prova di perdita di tenuta (punto 8.5 della UNI EN149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07E64" w:rsidRDefault="00007E64">
      <w:pPr>
        <w:rPr>
          <w:rFonts w:ascii="Times New Roman" w:hAnsi="Times New Roman" w:cs="Times New Roman"/>
          <w:sz w:val="24"/>
        </w:rPr>
      </w:pPr>
    </w:p>
    <w:p w:rsidR="00007E64" w:rsidRDefault="0027741D">
      <w:pPr>
        <w:jc w:val="both"/>
      </w:pPr>
      <w:r>
        <w:rPr>
          <w:rFonts w:ascii="Times New Roman" w:hAnsi="Times New Roman" w:cs="Times New Roman"/>
          <w:b/>
          <w:bCs/>
          <w:sz w:val="24"/>
          <w:u w:val="single"/>
        </w:rPr>
        <w:t>Requisiti minimi della strumentazione</w:t>
      </w:r>
    </w:p>
    <w:p w:rsidR="00007E64" w:rsidRDefault="0027741D">
      <w:pPr>
        <w:spacing w:after="156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Sistema di prova per la perdita di tenuta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(punto 8.5 della UNI EN 149:2009) deve essere composto da: </w:t>
      </w:r>
    </w:p>
    <w:p w:rsidR="00007E64" w:rsidRDefault="002774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Fotometro a fiamma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specificamente progettato per l’analisi diretta dell’aerosol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completo di pompa per il campionamento, con una </w:t>
      </w:r>
      <w:r w:rsidRPr="005D08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sensibilità tale da misurare concentrazioni prossime al </w:t>
      </w:r>
      <w:proofErr w:type="spellStart"/>
      <w:r w:rsidRPr="005D08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ng</w:t>
      </w:r>
      <w:proofErr w:type="spellEnd"/>
      <w:r w:rsidRPr="005D08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/m</w:t>
      </w:r>
      <w:r w:rsidRPr="005D085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tempo di risposta non superiore a 500 ms.</w:t>
      </w:r>
    </w:p>
    <w:p w:rsidR="00007E64" w:rsidRDefault="002774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Circuito selettore dei cam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formato dalle elettrovalvole per l’utilizzo dello stesso fotometro a fiamma per il campionamento all’interno della mascherina e per misurare la concentrazione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camera di prova. Da un sensore di pressione collegato ad una sonda sulla masc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herina, in grado di rilevare il superamento della soglia in entrambe le direzioni anche se sottoposto alle accelerazioni prodotte dai movimenti della testa del soggetto.</w:t>
      </w:r>
    </w:p>
    <w:p w:rsidR="00007E64" w:rsidRDefault="002774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Unità di controllo software/hardware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l’automazione dell’intero sistema, la gestion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di tutti i componenti, l’acquisizione dei valori misurati e la stampa dei report. Deve essere fornito di una postazione dotata di computer completo di monitor e di tutti i componenti necessari al circuito di campionamento.</w:t>
      </w:r>
    </w:p>
    <w:p w:rsidR="00007E64" w:rsidRDefault="00007E64">
      <w:pPr>
        <w:spacing w:after="15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07E64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68"/>
    <w:multiLevelType w:val="multilevel"/>
    <w:tmpl w:val="A52C2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1D3484"/>
    <w:multiLevelType w:val="multilevel"/>
    <w:tmpl w:val="E8D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64"/>
    <w:rsid w:val="00007E64"/>
    <w:rsid w:val="0027741D"/>
    <w:rsid w:val="005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A22AC"/>
  <w15:docId w15:val="{11D6E8E1-6743-E146-BFC0-8440FD8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442A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442A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442A1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42A1"/>
    <w:rPr>
      <w:rFonts w:ascii="Segoe UI" w:hAnsi="Segoe UI" w:cs="Segoe UI"/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DA30F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442A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442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42A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7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1100</Characters>
  <Application>Microsoft Office Word</Application>
  <DocSecurity>0</DocSecurity>
  <Lines>15</Lines>
  <Paragraphs>1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dc:description/>
  <cp:lastModifiedBy>Microsoft Office User</cp:lastModifiedBy>
  <cp:revision>3</cp:revision>
  <dcterms:created xsi:type="dcterms:W3CDTF">2020-12-30T11:27:00Z</dcterms:created>
  <dcterms:modified xsi:type="dcterms:W3CDTF">2020-12-30T11:27:00Z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