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CD" w:rsidRPr="00AA7B21" w:rsidRDefault="00FE5DAE">
      <w:pPr>
        <w:spacing w:line="200" w:lineRule="exact"/>
        <w:rPr>
          <w:b/>
          <w:lang w:val="it-IT"/>
        </w:rPr>
      </w:pPr>
      <w:r>
        <w:rPr>
          <w:b/>
          <w:lang w:val="it-IT"/>
        </w:rPr>
        <w:t>Patto di integrità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FB63A2" w:rsidTr="00AA7B21">
        <w:tc>
          <w:tcPr>
            <w:tcW w:w="9619" w:type="dxa"/>
          </w:tcPr>
          <w:p w:rsidR="00CE39EA" w:rsidRPr="00AA7B21" w:rsidRDefault="00CE39EA" w:rsidP="00837722">
            <w:pPr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DD0CDB" w:rsidRPr="00EB5CF6" w:rsidRDefault="00CE39EA" w:rsidP="001C199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lang w:val="it-IT"/>
              </w:rPr>
            </w:pPr>
            <w:r w:rsidRPr="00EB5CF6">
              <w:rPr>
                <w:rFonts w:cstheme="minorHAnsi"/>
                <w:color w:val="050505"/>
                <w:lang w:val="it-IT"/>
              </w:rPr>
              <w:t>Costituisce</w:t>
            </w:r>
            <w:r w:rsidRPr="00EB5CF6">
              <w:rPr>
                <w:rFonts w:cstheme="minorHAnsi"/>
                <w:color w:val="050505"/>
                <w:spacing w:val="-3"/>
                <w:lang w:val="it-IT"/>
              </w:rPr>
              <w:t xml:space="preserve"> </w:t>
            </w:r>
            <w:r w:rsidRPr="00EB5CF6">
              <w:rPr>
                <w:rFonts w:cstheme="minorHAnsi"/>
                <w:color w:val="050505"/>
                <w:lang w:val="it-IT"/>
              </w:rPr>
              <w:t>parte</w:t>
            </w:r>
            <w:r w:rsidRPr="00EB5CF6">
              <w:rPr>
                <w:rFonts w:cstheme="minorHAnsi"/>
                <w:color w:val="050505"/>
                <w:spacing w:val="35"/>
                <w:lang w:val="it-IT"/>
              </w:rPr>
              <w:t xml:space="preserve"> </w:t>
            </w:r>
            <w:r w:rsidRPr="00EB5CF6">
              <w:rPr>
                <w:rFonts w:cstheme="minorHAnsi"/>
                <w:color w:val="050505"/>
                <w:lang w:val="it-IT"/>
              </w:rPr>
              <w:t>integrante</w:t>
            </w:r>
            <w:r w:rsidRPr="00EB5CF6">
              <w:rPr>
                <w:rFonts w:cstheme="minorHAnsi"/>
                <w:color w:val="050505"/>
                <w:spacing w:val="10"/>
                <w:lang w:val="it-IT"/>
              </w:rPr>
              <w:t xml:space="preserve"> </w:t>
            </w:r>
            <w:r w:rsidRPr="00EB5CF6">
              <w:rPr>
                <w:rFonts w:cstheme="minorHAnsi"/>
                <w:color w:val="050505"/>
                <w:lang w:val="it-IT"/>
              </w:rPr>
              <w:t>della</w:t>
            </w:r>
            <w:r w:rsidRPr="00EB5CF6">
              <w:rPr>
                <w:rFonts w:cstheme="minorHAnsi"/>
                <w:color w:val="050505"/>
                <w:spacing w:val="-13"/>
                <w:lang w:val="it-IT"/>
              </w:rPr>
              <w:t xml:space="preserve"> </w:t>
            </w:r>
            <w:r w:rsidR="00EB5CF6" w:rsidRPr="00EB5CF6">
              <w:rPr>
                <w:rFonts w:cstheme="minorHAnsi"/>
                <w:lang w:val="it-IT"/>
              </w:rPr>
              <w:t>Gara europea a procedura aperta, in un unico lotto, con modalità telematica su piattaforma ASP Consip</w:t>
            </w:r>
            <w:r w:rsidR="00EB5CF6">
              <w:rPr>
                <w:rFonts w:cstheme="minorHAnsi"/>
                <w:lang w:val="it-IT"/>
              </w:rPr>
              <w:t>,</w:t>
            </w:r>
            <w:r w:rsidR="00EB5CF6" w:rsidRPr="00EB5CF6">
              <w:rPr>
                <w:rFonts w:cstheme="minorHAnsi"/>
                <w:lang w:val="it-IT"/>
              </w:rPr>
              <w:t xml:space="preserve"> per l’affidamento dell’appalto avente ad oggetto la </w:t>
            </w:r>
            <w:r w:rsidR="00EB5CF6" w:rsidRPr="00764D46">
              <w:rPr>
                <w:rFonts w:cstheme="minorHAnsi"/>
                <w:i/>
                <w:u w:val="single"/>
                <w:lang w:val="it-IT"/>
              </w:rPr>
              <w:t>fornitura e posa in opera “chiavi in mano” di arredi tecnici e attrezzature di laboratorio</w:t>
            </w:r>
            <w:r w:rsidR="00EB5CF6">
              <w:rPr>
                <w:rFonts w:cstheme="minorHAnsi"/>
                <w:lang w:val="it-IT"/>
              </w:rPr>
              <w:t xml:space="preserve"> </w:t>
            </w:r>
            <w:r w:rsidR="00FB63A2" w:rsidRPr="00FB63A2">
              <w:rPr>
                <w:rFonts w:cstheme="minorHAnsi"/>
                <w:lang w:val="it-IT"/>
              </w:rPr>
              <w:t>CIG: 8238576FF9</w:t>
            </w:r>
            <w:bookmarkStart w:id="0" w:name="_GoBack"/>
            <w:bookmarkEnd w:id="0"/>
            <w:r w:rsidR="00057EEB" w:rsidRPr="00EB5CF6">
              <w:rPr>
                <w:rFonts w:cstheme="minorHAnsi"/>
                <w:lang w:val="it-IT"/>
              </w:rPr>
              <w:t>.</w:t>
            </w:r>
          </w:p>
          <w:p w:rsidR="00CE39EA" w:rsidRPr="00DD0CDB" w:rsidRDefault="00DC49F0" w:rsidP="00837722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837722">
            <w:pPr>
              <w:pStyle w:val="ListParagraph"/>
              <w:numPr>
                <w:ilvl w:val="0"/>
                <w:numId w:val="1"/>
              </w:numPr>
              <w:ind w:left="357" w:right="1" w:hanging="357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8B142B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L’</w:t>
      </w:r>
      <w:r w:rsidR="00E755E8" w:rsidRPr="00AA7B21">
        <w:rPr>
          <w:rFonts w:eastAsia="Times New Roman" w:cs="Times New Roman"/>
          <w:color w:val="050505"/>
          <w:lang w:val="it-IT"/>
        </w:rPr>
        <w:t xml:space="preserve">Istituto </w:t>
      </w:r>
      <w:r w:rsidR="00837722">
        <w:rPr>
          <w:rFonts w:eastAsia="Times New Roman" w:cs="Times New Roman"/>
          <w:color w:val="050505"/>
          <w:lang w:val="it-IT"/>
        </w:rPr>
        <w:t xml:space="preserve">di Nanotecnologia </w:t>
      </w:r>
      <w:r w:rsidR="00F1608D">
        <w:rPr>
          <w:rFonts w:eastAsia="Times New Roman" w:cs="Times New Roman"/>
          <w:color w:val="050505"/>
          <w:lang w:val="it-IT"/>
        </w:rPr>
        <w:t>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>Ente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AA7B21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ListParagraph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ListParagraph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ListParagraph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2C0CA4" w:rsidRPr="002C0CA4" w:rsidRDefault="002C0CA4" w:rsidP="002C0CA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La Legge 6 novembre 2012 n. 190, art. 1, comma 17 recante "Disposizioni per la prevenzione e la repressione della corruzione e dell'illegalità nella pubblica amministrazione";</w:t>
      </w:r>
    </w:p>
    <w:p w:rsidR="002C0CA4" w:rsidRPr="002C0CA4" w:rsidRDefault="002C0CA4" w:rsidP="002C0CA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Piano Nazionale Anticorruzione (P.N.A.) approvato dall'Autorità Nazionale anticorruzione per la valutazione e la trasparenza delle amministrazioni pubbliche (ANAC ex CIVIT) con delibera n. 831/2016;</w:t>
      </w:r>
    </w:p>
    <w:p w:rsidR="002C0CA4" w:rsidRPr="002C0CA4" w:rsidRDefault="002C0CA4" w:rsidP="002C0CA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vigente «Piano triennale per la prevenzione della corruzione e della trasparenza» accessibile all’URL https://www.cnr.it/it/piano-triennale-prevenzione-della-corruzione;</w:t>
      </w:r>
    </w:p>
    <w:p w:rsidR="002C0CA4" w:rsidRPr="002C0CA4" w:rsidRDefault="002C0CA4" w:rsidP="002C0CA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lastRenderedPageBreak/>
        <w:t>Il Decreto del Presidente della Repubblica 16 aprile 2013, n. 62 con il quale è stato emanato il "Regolamento recante il codice di comportamento dei dipendenti pubblici";</w:t>
      </w:r>
    </w:p>
    <w:p w:rsidR="002C0CA4" w:rsidRPr="002C0CA4" w:rsidRDefault="002C0CA4" w:rsidP="002C0CA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vigente «Codice di comportamento del CNR» accessibile all’URL https://www.cnr.it/it/disposizioni-generali.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="0083772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come richiesto </w:t>
      </w:r>
      <w:r w:rsidR="00850CD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>dal</w:t>
      </w:r>
      <w:r w:rsidR="0083772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Disciplinare di gara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. </w:t>
      </w: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</w:t>
      </w:r>
      <w:r w:rsidR="00850CD2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33/2013.</w:t>
      </w: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BodyText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</w:t>
      </w:r>
      <w:r w:rsidR="00F67E5E">
        <w:rPr>
          <w:rFonts w:asciiTheme="minorHAnsi" w:hAnsiTheme="minorHAnsi"/>
          <w:color w:val="050505"/>
          <w:sz w:val="22"/>
          <w:szCs w:val="22"/>
          <w:lang w:val="it-IT"/>
        </w:rPr>
        <w:t xml:space="preserve">due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BodyText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BodyText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FB63A2" w:rsidTr="00222607">
        <w:tc>
          <w:tcPr>
            <w:tcW w:w="3802" w:type="dxa"/>
          </w:tcPr>
          <w:p w:rsidR="0022651D" w:rsidRPr="00AA7B21" w:rsidRDefault="00DD0CDB" w:rsidP="00222607">
            <w:pPr>
              <w:pStyle w:val="BodyText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AD749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</w:p>
          <w:p w:rsidR="00B44017" w:rsidRPr="00AA7B21" w:rsidRDefault="003931DD" w:rsidP="00837722">
            <w:pPr>
              <w:pStyle w:val="BodyText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837722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NANOTEC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BodyText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BodyText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BodyText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BodyText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AD749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Prof. </w:t>
            </w:r>
            <w:r w:rsidR="00837722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Giuseppe GIGLI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BodyText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BodyText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BodyText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Default="0022651D" w:rsidP="00AA7B21">
      <w:pPr>
        <w:pStyle w:val="BodyText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5A3FFF" w:rsidRDefault="005A3FFF" w:rsidP="00AA7B21">
      <w:pPr>
        <w:pStyle w:val="BodyText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5A3FFF" w:rsidRDefault="005A3FFF" w:rsidP="005A3FFF">
      <w:pPr>
        <w:rPr>
          <w:rFonts w:eastAsia="Times New Roman"/>
          <w:color w:val="050505"/>
          <w:lang w:val="it-IT"/>
        </w:rPr>
      </w:pPr>
    </w:p>
    <w:p w:rsidR="005A3FFF" w:rsidRDefault="005A3FFF" w:rsidP="005A3FFF">
      <w:pPr>
        <w:rPr>
          <w:rFonts w:eastAsia="Times New Roman"/>
          <w:color w:val="050505"/>
          <w:lang w:val="it-IT"/>
        </w:rPr>
      </w:pPr>
    </w:p>
    <w:p w:rsidR="005A3FFF" w:rsidRPr="005A3FFF" w:rsidRDefault="005A3FFF" w:rsidP="005A3FFF">
      <w:pPr>
        <w:jc w:val="both"/>
        <w:rPr>
          <w:color w:val="050505"/>
          <w:u w:val="single"/>
          <w:lang w:val="it-IT"/>
        </w:rPr>
      </w:pPr>
    </w:p>
    <w:sectPr w:rsidR="005A3FFF" w:rsidRPr="005A3FFF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F9" w:rsidRDefault="00845BF9">
      <w:r>
        <w:separator/>
      </w:r>
    </w:p>
  </w:endnote>
  <w:endnote w:type="continuationSeparator" w:id="0">
    <w:p w:rsidR="00845BF9" w:rsidRDefault="0084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210F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210F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F9" w:rsidRDefault="00845BF9">
      <w:r>
        <w:separator/>
      </w:r>
    </w:p>
  </w:footnote>
  <w:footnote w:type="continuationSeparator" w:id="0">
    <w:p w:rsidR="00845BF9" w:rsidRDefault="0084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Heading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D"/>
    <w:rsid w:val="000002D6"/>
    <w:rsid w:val="00057EEB"/>
    <w:rsid w:val="0007543B"/>
    <w:rsid w:val="000C1E10"/>
    <w:rsid w:val="000C2614"/>
    <w:rsid w:val="001321EB"/>
    <w:rsid w:val="00173ABB"/>
    <w:rsid w:val="001923B6"/>
    <w:rsid w:val="001B5DEC"/>
    <w:rsid w:val="001C1990"/>
    <w:rsid w:val="0020171C"/>
    <w:rsid w:val="00217C23"/>
    <w:rsid w:val="00222607"/>
    <w:rsid w:val="0022651D"/>
    <w:rsid w:val="00260378"/>
    <w:rsid w:val="002A162B"/>
    <w:rsid w:val="002B2DB2"/>
    <w:rsid w:val="002C0CA4"/>
    <w:rsid w:val="002E7007"/>
    <w:rsid w:val="002E7930"/>
    <w:rsid w:val="00337167"/>
    <w:rsid w:val="00345FFD"/>
    <w:rsid w:val="0036032B"/>
    <w:rsid w:val="003931DD"/>
    <w:rsid w:val="003D092D"/>
    <w:rsid w:val="00420D30"/>
    <w:rsid w:val="004629D9"/>
    <w:rsid w:val="004B7543"/>
    <w:rsid w:val="004C22A1"/>
    <w:rsid w:val="005523C9"/>
    <w:rsid w:val="005554BB"/>
    <w:rsid w:val="00574C29"/>
    <w:rsid w:val="00584747"/>
    <w:rsid w:val="00594863"/>
    <w:rsid w:val="005A3FFF"/>
    <w:rsid w:val="005D4665"/>
    <w:rsid w:val="00631DD3"/>
    <w:rsid w:val="0064612D"/>
    <w:rsid w:val="00660B36"/>
    <w:rsid w:val="00680E61"/>
    <w:rsid w:val="006900D0"/>
    <w:rsid w:val="006A59C2"/>
    <w:rsid w:val="007228CA"/>
    <w:rsid w:val="00764D46"/>
    <w:rsid w:val="00784AB6"/>
    <w:rsid w:val="007A26DD"/>
    <w:rsid w:val="007B497E"/>
    <w:rsid w:val="007D0145"/>
    <w:rsid w:val="007F1978"/>
    <w:rsid w:val="007F51DC"/>
    <w:rsid w:val="00817ABF"/>
    <w:rsid w:val="00837722"/>
    <w:rsid w:val="00845BF9"/>
    <w:rsid w:val="00850CD2"/>
    <w:rsid w:val="008766BD"/>
    <w:rsid w:val="00886243"/>
    <w:rsid w:val="008B142B"/>
    <w:rsid w:val="008B19CD"/>
    <w:rsid w:val="008D04AE"/>
    <w:rsid w:val="008E13E8"/>
    <w:rsid w:val="009215E1"/>
    <w:rsid w:val="009758D9"/>
    <w:rsid w:val="009867F3"/>
    <w:rsid w:val="009A3D22"/>
    <w:rsid w:val="009F57D6"/>
    <w:rsid w:val="00AA7B21"/>
    <w:rsid w:val="00AB2FDC"/>
    <w:rsid w:val="00AD749D"/>
    <w:rsid w:val="00AF2865"/>
    <w:rsid w:val="00B1596D"/>
    <w:rsid w:val="00B44017"/>
    <w:rsid w:val="00B759CE"/>
    <w:rsid w:val="00B75BA1"/>
    <w:rsid w:val="00B946DD"/>
    <w:rsid w:val="00C3323E"/>
    <w:rsid w:val="00CC6D5B"/>
    <w:rsid w:val="00CD504C"/>
    <w:rsid w:val="00CE39EA"/>
    <w:rsid w:val="00CE70E1"/>
    <w:rsid w:val="00D127F0"/>
    <w:rsid w:val="00D54822"/>
    <w:rsid w:val="00D6210F"/>
    <w:rsid w:val="00D634FA"/>
    <w:rsid w:val="00D64D01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B5CF6"/>
    <w:rsid w:val="00EC1C6B"/>
    <w:rsid w:val="00EF1DE8"/>
    <w:rsid w:val="00EF3DD9"/>
    <w:rsid w:val="00F0247E"/>
    <w:rsid w:val="00F1608D"/>
    <w:rsid w:val="00F37F29"/>
    <w:rsid w:val="00F54877"/>
    <w:rsid w:val="00F67572"/>
    <w:rsid w:val="00F67E5E"/>
    <w:rsid w:val="00FB3457"/>
    <w:rsid w:val="00FB63A2"/>
    <w:rsid w:val="00FE5DAE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Heading2">
    <w:name w:val="heading 2"/>
    <w:basedOn w:val="Normal"/>
    <w:next w:val="Normal"/>
    <w:link w:val="Heading2Char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Heading3">
    <w:name w:val="heading 3"/>
    <w:basedOn w:val="Normal"/>
    <w:next w:val="Normal"/>
    <w:link w:val="Heading3Char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Heading4">
    <w:name w:val="heading 4"/>
    <w:basedOn w:val="Normal"/>
    <w:next w:val="Normal"/>
    <w:link w:val="Heading4Char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Heading5">
    <w:name w:val="heading 5"/>
    <w:basedOn w:val="Normal"/>
    <w:next w:val="Normal"/>
    <w:link w:val="Heading5Char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Heading8">
    <w:name w:val="heading 8"/>
    <w:basedOn w:val="Normal"/>
    <w:next w:val="Normal"/>
    <w:link w:val="Heading8Char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E10"/>
  </w:style>
  <w:style w:type="paragraph" w:styleId="Footer">
    <w:name w:val="footer"/>
    <w:basedOn w:val="Normal"/>
    <w:link w:val="FooterChar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E10"/>
  </w:style>
  <w:style w:type="table" w:styleId="TableGrid">
    <w:name w:val="Table Grid"/>
    <w:basedOn w:val="TableNormal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Heading2Char">
    <w:name w:val="Heading 2 Char"/>
    <w:basedOn w:val="DefaultParagraphFont"/>
    <w:link w:val="Heading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Heading3Char">
    <w:name w:val="Heading 3 Char"/>
    <w:basedOn w:val="DefaultParagraphFont"/>
    <w:link w:val="Heading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Heading4Char">
    <w:name w:val="Heading 4 Char"/>
    <w:basedOn w:val="DefaultParagraphFont"/>
    <w:link w:val="Heading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Heading5Char">
    <w:name w:val="Heading 5 Char"/>
    <w:basedOn w:val="DefaultParagraphFont"/>
    <w:link w:val="Heading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Heading8Char">
    <w:name w:val="Heading 8 Char"/>
    <w:basedOn w:val="DefaultParagraphFont"/>
    <w:link w:val="Heading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Giovanna</cp:lastModifiedBy>
  <cp:revision>6</cp:revision>
  <cp:lastPrinted>2016-09-26T06:44:00Z</cp:lastPrinted>
  <dcterms:created xsi:type="dcterms:W3CDTF">2020-02-17T13:13:00Z</dcterms:created>
  <dcterms:modified xsi:type="dcterms:W3CDTF">2020-03-13T15:45:00Z</dcterms:modified>
</cp:coreProperties>
</file>