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D2856" w14:textId="017247E5" w:rsidR="0034332B" w:rsidRPr="0034332B" w:rsidRDefault="0034332B" w:rsidP="0034332B">
      <w:pPr>
        <w:rPr>
          <w:rFonts w:asciiTheme="minorHAnsi" w:hAnsiTheme="minorHAnsi"/>
          <w:b/>
          <w:lang w:val="it-IT"/>
        </w:rPr>
      </w:pPr>
      <w:bookmarkStart w:id="0" w:name="_GoBack"/>
      <w:bookmarkEnd w:id="0"/>
      <w:r w:rsidRPr="0034332B">
        <w:rPr>
          <w:rFonts w:asciiTheme="minorHAnsi" w:hAnsiTheme="minorHAnsi" w:hint="eastAsia"/>
          <w:b/>
          <w:lang w:val="it-IT"/>
        </w:rPr>
        <w:t>CONDIZIONI D</w:t>
      </w:r>
      <w:r w:rsidR="00523693">
        <w:rPr>
          <w:rFonts w:asciiTheme="minorHAnsi" w:hAnsiTheme="minorHAnsi"/>
          <w:b/>
          <w:lang w:val="it-IT"/>
        </w:rPr>
        <w:t>’</w:t>
      </w:r>
      <w:r w:rsidRPr="0034332B">
        <w:rPr>
          <w:rFonts w:asciiTheme="minorHAnsi" w:hAnsiTheme="minorHAnsi" w:hint="eastAsia"/>
          <w:b/>
          <w:lang w:val="it-IT"/>
        </w:rPr>
        <w:t xml:space="preserve">ORDINE MEPA </w:t>
      </w:r>
      <w:r>
        <w:rPr>
          <w:rFonts w:asciiTheme="minorHAnsi" w:hAnsiTheme="minorHAnsi"/>
          <w:b/>
          <w:lang w:val="it-IT"/>
        </w:rPr>
        <w:t>Gara CIG</w:t>
      </w:r>
      <w:r w:rsidRPr="0034332B">
        <w:rPr>
          <w:rFonts w:asciiTheme="minorHAnsi" w:hAnsiTheme="minorHAnsi" w:hint="eastAsia"/>
          <w:b/>
          <w:lang w:val="it-IT"/>
        </w:rPr>
        <w:t xml:space="preserve"> </w:t>
      </w:r>
      <w:r w:rsidR="00523693" w:rsidRPr="00D775F0">
        <w:rPr>
          <w:rFonts w:ascii="Arial" w:hAnsi="Arial" w:cs="Arial"/>
          <w:b/>
          <w:bCs/>
          <w:sz w:val="20"/>
          <w:szCs w:val="20"/>
          <w:shd w:val="clear" w:color="auto" w:fill="FFFFFF"/>
          <w:lang w:val="it-IT"/>
        </w:rPr>
        <w:t>Z713178B80</w:t>
      </w:r>
    </w:p>
    <w:p w14:paraId="79E16380" w14:textId="77777777" w:rsidR="0034332B" w:rsidRPr="0034332B" w:rsidRDefault="0034332B" w:rsidP="0034332B">
      <w:pPr>
        <w:rPr>
          <w:rFonts w:asciiTheme="minorHAnsi" w:hAnsiTheme="minorHAnsi"/>
          <w:b/>
          <w:u w:val="single"/>
          <w:lang w:val="it-IT"/>
        </w:rPr>
      </w:pPr>
    </w:p>
    <w:p w14:paraId="56B313DE" w14:textId="77777777" w:rsidR="0034332B" w:rsidRPr="0034332B" w:rsidRDefault="0034332B" w:rsidP="00523693">
      <w:pPr>
        <w:jc w:val="both"/>
        <w:rPr>
          <w:rFonts w:asciiTheme="minorHAnsi" w:hAnsiTheme="minorHAnsi"/>
          <w:b/>
          <w:u w:val="single"/>
          <w:lang w:val="it-IT"/>
        </w:rPr>
      </w:pPr>
      <w:r w:rsidRPr="0034332B">
        <w:rPr>
          <w:rFonts w:asciiTheme="minorHAnsi" w:hAnsiTheme="minorHAnsi" w:hint="eastAsia"/>
          <w:b/>
          <w:u w:val="single"/>
          <w:lang w:val="it-IT"/>
        </w:rPr>
        <w:t xml:space="preserve">Da firmare e rinviare debitamente compilato e corredato da un valido documento di identità. </w:t>
      </w:r>
    </w:p>
    <w:p w14:paraId="2F0E1AEB" w14:textId="77777777" w:rsidR="0034332B" w:rsidRPr="0034332B" w:rsidRDefault="0034332B" w:rsidP="00523693">
      <w:pPr>
        <w:jc w:val="both"/>
        <w:rPr>
          <w:rFonts w:asciiTheme="minorHAnsi" w:hAnsiTheme="minorHAnsi"/>
          <w:lang w:val="it-IT"/>
        </w:rPr>
      </w:pPr>
    </w:p>
    <w:p w14:paraId="4B2B7918" w14:textId="3A2E8CF7" w:rsidR="0034332B" w:rsidRPr="0034332B" w:rsidRDefault="00167B3C" w:rsidP="00523693">
      <w:pPr>
        <w:spacing w:after="120"/>
        <w:jc w:val="both"/>
        <w:rPr>
          <w:rFonts w:asciiTheme="minorHAnsi" w:hAnsiTheme="minorHAnsi"/>
          <w:lang w:val="it-IT"/>
        </w:rPr>
      </w:pPr>
      <w:r w:rsidRPr="0034332B">
        <w:rPr>
          <w:rFonts w:asciiTheme="minorHAnsi" w:hAnsiTheme="minorHAnsi"/>
          <w:b/>
          <w:lang w:val="it-IT"/>
        </w:rPr>
        <w:t>CONFORMITÀ</w:t>
      </w:r>
      <w:r w:rsidR="0034332B" w:rsidRPr="0034332B">
        <w:rPr>
          <w:rFonts w:asciiTheme="minorHAnsi" w:hAnsiTheme="minorHAnsi" w:hint="eastAsia"/>
          <w:b/>
          <w:lang w:val="it-IT"/>
        </w:rPr>
        <w:t xml:space="preserve">: </w:t>
      </w:r>
      <w:r w:rsidR="0034332B" w:rsidRPr="0034332B">
        <w:rPr>
          <w:rFonts w:asciiTheme="minorHAnsi" w:hAnsiTheme="minorHAnsi" w:hint="eastAsia"/>
          <w:lang w:val="it-IT"/>
        </w:rPr>
        <w:t>nel caso in cui i beni non fossero conformi a quanto specificato nel presente ordine, il CNR si riserva il diritto di restituire i beni non conformi, a spese e rischio del Fornitore, e/o di annullare l</w:t>
      </w:r>
      <w:r w:rsidR="0034332B" w:rsidRPr="0034332B">
        <w:rPr>
          <w:rFonts w:asciiTheme="minorHAnsi" w:hAnsiTheme="minorHAnsi" w:hint="eastAsia"/>
          <w:lang w:val="it-IT"/>
        </w:rPr>
        <w:t>’</w:t>
      </w:r>
      <w:r w:rsidR="0034332B" w:rsidRPr="0034332B">
        <w:rPr>
          <w:rFonts w:asciiTheme="minorHAnsi" w:hAnsiTheme="minorHAnsi" w:hint="eastAsia"/>
          <w:lang w:val="it-IT"/>
        </w:rPr>
        <w:t>ordine.</w:t>
      </w:r>
    </w:p>
    <w:p w14:paraId="5DD171BF" w14:textId="2929CE2F" w:rsidR="0034332B" w:rsidRDefault="00167B3C" w:rsidP="00523693">
      <w:pPr>
        <w:spacing w:after="120"/>
        <w:jc w:val="both"/>
        <w:rPr>
          <w:rFonts w:asciiTheme="minorHAnsi" w:hAnsiTheme="minorHAnsi"/>
          <w:lang w:val="it-IT"/>
        </w:rPr>
      </w:pPr>
      <w:r w:rsidRPr="0034332B">
        <w:rPr>
          <w:rFonts w:asciiTheme="minorHAnsi" w:hAnsiTheme="minorHAnsi"/>
          <w:b/>
          <w:lang w:val="it-IT"/>
        </w:rPr>
        <w:t xml:space="preserve">MARCATURA </w:t>
      </w:r>
      <w:r>
        <w:rPr>
          <w:rFonts w:asciiTheme="minorHAnsi" w:hAnsiTheme="minorHAnsi"/>
          <w:b/>
          <w:lang w:val="it-IT"/>
        </w:rPr>
        <w:t>“</w:t>
      </w:r>
      <w:r w:rsidRPr="0034332B">
        <w:rPr>
          <w:rFonts w:asciiTheme="minorHAnsi" w:hAnsiTheme="minorHAnsi"/>
          <w:b/>
          <w:lang w:val="it-IT"/>
        </w:rPr>
        <w:t>CE</w:t>
      </w:r>
      <w:r>
        <w:rPr>
          <w:rFonts w:asciiTheme="minorHAnsi" w:hAnsiTheme="minorHAnsi"/>
          <w:b/>
          <w:lang w:val="it-IT"/>
        </w:rPr>
        <w:t>”</w:t>
      </w:r>
      <w:r w:rsidRPr="0034332B">
        <w:rPr>
          <w:rFonts w:asciiTheme="minorHAnsi" w:hAnsiTheme="minorHAnsi"/>
          <w:b/>
          <w:lang w:val="it-IT"/>
        </w:rPr>
        <w:t xml:space="preserve">: </w:t>
      </w:r>
      <w:r w:rsidR="0034332B" w:rsidRPr="0034332B">
        <w:rPr>
          <w:rFonts w:asciiTheme="minorHAnsi" w:hAnsiTheme="minorHAnsi" w:hint="eastAsia"/>
          <w:lang w:val="it-IT"/>
        </w:rPr>
        <w:t xml:space="preserve">La fornitura dovrà essere munita della marcatura </w:t>
      </w:r>
      <w:r w:rsidR="0034332B" w:rsidRPr="0034332B">
        <w:rPr>
          <w:rFonts w:asciiTheme="minorHAnsi" w:hAnsiTheme="minorHAnsi" w:hint="eastAsia"/>
          <w:lang w:val="it-IT"/>
        </w:rPr>
        <w:t>“</w:t>
      </w:r>
      <w:r w:rsidR="0034332B" w:rsidRPr="0034332B">
        <w:rPr>
          <w:rFonts w:asciiTheme="minorHAnsi" w:hAnsiTheme="minorHAnsi" w:hint="eastAsia"/>
          <w:lang w:val="it-IT"/>
        </w:rPr>
        <w:t>CE</w:t>
      </w:r>
      <w:r w:rsidR="0034332B" w:rsidRPr="0034332B">
        <w:rPr>
          <w:rFonts w:asciiTheme="minorHAnsi" w:hAnsiTheme="minorHAnsi" w:hint="eastAsia"/>
          <w:lang w:val="it-IT"/>
        </w:rPr>
        <w:t>”</w:t>
      </w:r>
      <w:r w:rsidR="0034332B" w:rsidRPr="0034332B">
        <w:rPr>
          <w:rFonts w:asciiTheme="minorHAnsi" w:hAnsiTheme="minorHAnsi" w:hint="eastAsia"/>
          <w:lang w:val="it-IT"/>
        </w:rPr>
        <w:t xml:space="preserve">, per le parti che lo richiedano, ai sensi del </w:t>
      </w:r>
      <w:proofErr w:type="spellStart"/>
      <w:r w:rsidR="0034332B" w:rsidRPr="0034332B">
        <w:rPr>
          <w:rFonts w:asciiTheme="minorHAnsi" w:hAnsiTheme="minorHAnsi" w:hint="eastAsia"/>
          <w:lang w:val="it-IT"/>
        </w:rPr>
        <w:t>D.Lgs.</w:t>
      </w:r>
      <w:proofErr w:type="spellEnd"/>
      <w:r w:rsidR="0034332B" w:rsidRPr="0034332B">
        <w:rPr>
          <w:rFonts w:asciiTheme="minorHAnsi" w:hAnsiTheme="minorHAnsi" w:hint="eastAsia"/>
          <w:lang w:val="it-IT"/>
        </w:rPr>
        <w:t xml:space="preserve"> 17/2010 e </w:t>
      </w:r>
      <w:proofErr w:type="spellStart"/>
      <w:r w:rsidR="0034332B" w:rsidRPr="0034332B">
        <w:rPr>
          <w:rFonts w:asciiTheme="minorHAnsi" w:hAnsiTheme="minorHAnsi" w:hint="eastAsia"/>
          <w:lang w:val="it-IT"/>
        </w:rPr>
        <w:t>s.m.i.</w:t>
      </w:r>
      <w:proofErr w:type="spellEnd"/>
    </w:p>
    <w:p w14:paraId="40621F4D" w14:textId="66F07F6C" w:rsidR="00A71150" w:rsidRPr="00A71150" w:rsidRDefault="00A71150" w:rsidP="00A71150">
      <w:pPr>
        <w:widowControl/>
        <w:pBdr>
          <w:top w:val="nil"/>
          <w:left w:val="nil"/>
          <w:bottom w:val="nil"/>
          <w:right w:val="nil"/>
          <w:between w:val="nil"/>
        </w:pBdr>
        <w:suppressAutoHyphens/>
        <w:autoSpaceDE/>
        <w:autoSpaceDN/>
        <w:spacing w:line="259" w:lineRule="auto"/>
        <w:jc w:val="both"/>
        <w:textDirection w:val="btLr"/>
        <w:textAlignment w:val="top"/>
        <w:outlineLvl w:val="0"/>
        <w:rPr>
          <w:rFonts w:ascii="Calibri" w:eastAsia="Calibri" w:hAnsi="Calibri" w:cs="Times New Roman"/>
          <w:b/>
          <w:bCs/>
          <w:color w:val="000000"/>
          <w:lang w:val="it-IT"/>
        </w:rPr>
      </w:pPr>
      <w:r w:rsidRPr="00A71150">
        <w:rPr>
          <w:rFonts w:ascii="Calibri" w:eastAsia="Calibri" w:hAnsi="Calibri" w:cs="Times New Roman"/>
          <w:b/>
          <w:bCs/>
          <w:color w:val="000000"/>
          <w:lang w:val="it-IT"/>
        </w:rPr>
        <w:t>LUOGHI DI CONSEGNA</w:t>
      </w:r>
    </w:p>
    <w:p w14:paraId="0F579D13" w14:textId="07EA885E" w:rsidR="00A71150" w:rsidRPr="00A71150" w:rsidRDefault="00A71150" w:rsidP="00A71150">
      <w:pPr>
        <w:widowControl/>
        <w:numPr>
          <w:ilvl w:val="3"/>
          <w:numId w:val="8"/>
        </w:numPr>
        <w:pBdr>
          <w:top w:val="nil"/>
          <w:left w:val="nil"/>
          <w:bottom w:val="nil"/>
          <w:right w:val="nil"/>
          <w:between w:val="nil"/>
        </w:pBdr>
        <w:suppressAutoHyphens/>
        <w:autoSpaceDE/>
        <w:autoSpaceDN/>
        <w:spacing w:after="60" w:line="259" w:lineRule="auto"/>
        <w:ind w:left="284" w:hanging="284"/>
        <w:jc w:val="both"/>
        <w:textDirection w:val="btLr"/>
        <w:textAlignment w:val="top"/>
        <w:outlineLvl w:val="0"/>
        <w:rPr>
          <w:rFonts w:ascii="Calibri" w:eastAsia="Calibri" w:hAnsi="Calibri" w:cs="Times New Roman"/>
          <w:color w:val="000000"/>
          <w:lang w:val="it-IT"/>
        </w:rPr>
      </w:pPr>
      <w:r>
        <w:rPr>
          <w:rFonts w:ascii="Calibri" w:eastAsia="Calibri" w:hAnsi="Calibri" w:cs="Times New Roman"/>
          <w:color w:val="000000"/>
          <w:lang w:val="it-IT"/>
        </w:rPr>
        <w:t xml:space="preserve">Nr </w:t>
      </w:r>
      <w:r w:rsidRPr="00A71150">
        <w:rPr>
          <w:rFonts w:ascii="Calibri" w:eastAsia="Calibri" w:hAnsi="Calibri" w:cs="Times New Roman"/>
          <w:color w:val="000000"/>
          <w:lang w:val="it-IT"/>
        </w:rPr>
        <w:t xml:space="preserve">4 casse coibentate per alloggio e trasporto </w:t>
      </w:r>
      <w:proofErr w:type="spellStart"/>
      <w:r w:rsidRPr="00A71150">
        <w:rPr>
          <w:rFonts w:ascii="Calibri" w:eastAsia="Calibri" w:hAnsi="Calibri" w:cs="Times New Roman"/>
          <w:color w:val="000000"/>
          <w:lang w:val="it-IT"/>
        </w:rPr>
        <w:t>flask</w:t>
      </w:r>
      <w:proofErr w:type="spellEnd"/>
      <w:r w:rsidRPr="00A71150">
        <w:rPr>
          <w:rFonts w:ascii="Calibri" w:eastAsia="Calibri" w:hAnsi="Calibri" w:cs="Times New Roman"/>
          <w:color w:val="000000"/>
          <w:lang w:val="it-IT"/>
        </w:rPr>
        <w:t xml:space="preserve"> ICOS3000 (GAS (1.1) -PIR01_00019__224727)</w:t>
      </w:r>
      <w:r w:rsidRPr="00A71150">
        <w:rPr>
          <w:rFonts w:ascii="Calibri" w:eastAsia="Calibri" w:hAnsi="Calibri" w:cs="Times New Roman"/>
          <w:color w:val="000000"/>
          <w:lang w:val="it-IT"/>
        </w:rPr>
        <w:tab/>
        <w:t xml:space="preserve"> c/o Istituto di Metodologie per l’Analisi Ambientale del Consiglio Nazionale delle Ricerche (IMAA-CNR), </w:t>
      </w:r>
      <w:proofErr w:type="spellStart"/>
      <w:r w:rsidRPr="00A71150">
        <w:rPr>
          <w:rFonts w:ascii="Calibri" w:eastAsia="Calibri" w:hAnsi="Calibri" w:cs="Times New Roman"/>
          <w:color w:val="000000"/>
          <w:lang w:val="it-IT"/>
        </w:rPr>
        <w:t>C.da</w:t>
      </w:r>
      <w:proofErr w:type="spellEnd"/>
      <w:r w:rsidRPr="00A71150">
        <w:rPr>
          <w:rFonts w:ascii="Calibri" w:eastAsia="Calibri" w:hAnsi="Calibri" w:cs="Times New Roman"/>
          <w:color w:val="000000"/>
          <w:lang w:val="it-IT"/>
        </w:rPr>
        <w:t xml:space="preserve"> Santa </w:t>
      </w:r>
      <w:proofErr w:type="spellStart"/>
      <w:r w:rsidRPr="00A71150">
        <w:rPr>
          <w:rFonts w:ascii="Calibri" w:eastAsia="Calibri" w:hAnsi="Calibri" w:cs="Times New Roman"/>
          <w:color w:val="000000"/>
          <w:lang w:val="it-IT"/>
        </w:rPr>
        <w:t>Loja</w:t>
      </w:r>
      <w:proofErr w:type="spellEnd"/>
      <w:r w:rsidRPr="00A71150">
        <w:rPr>
          <w:rFonts w:ascii="Calibri" w:eastAsia="Calibri" w:hAnsi="Calibri" w:cs="Times New Roman"/>
          <w:color w:val="000000"/>
          <w:lang w:val="it-IT"/>
        </w:rPr>
        <w:t>, Z.I. – 85050 Tito (PZ), ITALIA</w:t>
      </w:r>
    </w:p>
    <w:p w14:paraId="2F319C0C" w14:textId="1E718AD3" w:rsidR="00A71150" w:rsidRPr="00A71150" w:rsidRDefault="00A71150" w:rsidP="00A71150">
      <w:pPr>
        <w:widowControl/>
        <w:numPr>
          <w:ilvl w:val="3"/>
          <w:numId w:val="8"/>
        </w:numPr>
        <w:pBdr>
          <w:top w:val="nil"/>
          <w:left w:val="nil"/>
          <w:bottom w:val="nil"/>
          <w:right w:val="nil"/>
          <w:between w:val="nil"/>
        </w:pBdr>
        <w:suppressAutoHyphens/>
        <w:autoSpaceDE/>
        <w:autoSpaceDN/>
        <w:spacing w:before="60" w:after="60" w:line="259" w:lineRule="auto"/>
        <w:ind w:left="284" w:hanging="284"/>
        <w:jc w:val="both"/>
        <w:textDirection w:val="btLr"/>
        <w:textAlignment w:val="top"/>
        <w:outlineLvl w:val="0"/>
        <w:rPr>
          <w:rFonts w:ascii="Calibri" w:eastAsia="Calibri" w:hAnsi="Calibri" w:cs="Times New Roman"/>
          <w:color w:val="000000"/>
          <w:lang w:val="it-IT"/>
        </w:rPr>
      </w:pPr>
      <w:r>
        <w:rPr>
          <w:rFonts w:ascii="Calibri" w:eastAsia="Calibri" w:hAnsi="Calibri" w:cs="Times New Roman"/>
          <w:color w:val="000000"/>
          <w:lang w:val="it-IT"/>
        </w:rPr>
        <w:t xml:space="preserve">Nr </w:t>
      </w:r>
      <w:r w:rsidRPr="00A71150">
        <w:rPr>
          <w:rFonts w:ascii="Calibri" w:eastAsia="Calibri" w:hAnsi="Calibri" w:cs="Times New Roman"/>
          <w:color w:val="000000"/>
          <w:lang w:val="it-IT"/>
        </w:rPr>
        <w:t xml:space="preserve">4 casse coibentate per alloggio e trasporto </w:t>
      </w:r>
      <w:proofErr w:type="spellStart"/>
      <w:r w:rsidRPr="00A71150">
        <w:rPr>
          <w:rFonts w:ascii="Calibri" w:eastAsia="Calibri" w:hAnsi="Calibri" w:cs="Times New Roman"/>
          <w:color w:val="000000"/>
          <w:lang w:val="it-IT"/>
        </w:rPr>
        <w:t>flask</w:t>
      </w:r>
      <w:proofErr w:type="spellEnd"/>
      <w:r w:rsidRPr="00A71150">
        <w:rPr>
          <w:rFonts w:ascii="Calibri" w:eastAsia="Calibri" w:hAnsi="Calibri" w:cs="Times New Roman"/>
          <w:color w:val="000000"/>
          <w:lang w:val="it-IT"/>
        </w:rPr>
        <w:t xml:space="preserve"> ICOS3000 (FLASK_HUB_LT_0.1-PIR01_00019__192298) c/o Istituto di Scienze dell’Atmosfera e del Clima del Consiglio Nazionale delle Ricerche Area Industriale </w:t>
      </w:r>
      <w:proofErr w:type="spellStart"/>
      <w:r w:rsidRPr="00A71150">
        <w:rPr>
          <w:rFonts w:ascii="Calibri" w:eastAsia="Calibri" w:hAnsi="Calibri" w:cs="Times New Roman"/>
          <w:color w:val="000000"/>
          <w:lang w:val="it-IT"/>
        </w:rPr>
        <w:t>Comp</w:t>
      </w:r>
      <w:proofErr w:type="spellEnd"/>
      <w:r w:rsidRPr="00A71150">
        <w:rPr>
          <w:rFonts w:ascii="Calibri" w:eastAsia="Calibri" w:hAnsi="Calibri" w:cs="Times New Roman"/>
          <w:color w:val="000000"/>
          <w:lang w:val="it-IT"/>
        </w:rPr>
        <w:t>. 15, 88046, Lamezia Terme, ITALIA</w:t>
      </w:r>
    </w:p>
    <w:p w14:paraId="1D3C5067" w14:textId="5E75A6EE" w:rsidR="00A71150" w:rsidRPr="00A71150" w:rsidRDefault="00A71150" w:rsidP="00A71150">
      <w:pPr>
        <w:widowControl/>
        <w:numPr>
          <w:ilvl w:val="3"/>
          <w:numId w:val="8"/>
        </w:numPr>
        <w:pBdr>
          <w:top w:val="nil"/>
          <w:left w:val="nil"/>
          <w:bottom w:val="nil"/>
          <w:right w:val="nil"/>
          <w:between w:val="nil"/>
        </w:pBdr>
        <w:suppressAutoHyphens/>
        <w:autoSpaceDE/>
        <w:autoSpaceDN/>
        <w:spacing w:before="60" w:after="60" w:line="259" w:lineRule="auto"/>
        <w:ind w:left="284" w:hanging="284"/>
        <w:jc w:val="both"/>
        <w:textDirection w:val="btLr"/>
        <w:textAlignment w:val="top"/>
        <w:outlineLvl w:val="0"/>
        <w:rPr>
          <w:rFonts w:ascii="Calibri" w:eastAsia="Calibri" w:hAnsi="Calibri" w:cs="Times New Roman"/>
          <w:color w:val="000000"/>
          <w:lang w:val="it-IT"/>
        </w:rPr>
      </w:pPr>
      <w:r>
        <w:rPr>
          <w:rFonts w:ascii="Calibri" w:eastAsia="Calibri" w:hAnsi="Calibri" w:cs="Times New Roman"/>
          <w:color w:val="000000"/>
          <w:lang w:val="it-IT"/>
        </w:rPr>
        <w:t xml:space="preserve">Nr </w:t>
      </w:r>
      <w:r w:rsidRPr="00A71150">
        <w:rPr>
          <w:rFonts w:ascii="Calibri" w:eastAsia="Calibri" w:hAnsi="Calibri" w:cs="Times New Roman"/>
          <w:color w:val="000000"/>
          <w:lang w:val="it-IT"/>
        </w:rPr>
        <w:t xml:space="preserve">4 casse coibentate per alloggio e trasporto </w:t>
      </w:r>
      <w:proofErr w:type="spellStart"/>
      <w:r w:rsidRPr="00A71150">
        <w:rPr>
          <w:rFonts w:ascii="Calibri" w:eastAsia="Calibri" w:hAnsi="Calibri" w:cs="Times New Roman"/>
          <w:color w:val="000000"/>
          <w:lang w:val="it-IT"/>
        </w:rPr>
        <w:t>flask</w:t>
      </w:r>
      <w:proofErr w:type="spellEnd"/>
      <w:r w:rsidRPr="00A71150">
        <w:rPr>
          <w:rFonts w:ascii="Calibri" w:eastAsia="Calibri" w:hAnsi="Calibri" w:cs="Times New Roman"/>
          <w:color w:val="000000"/>
          <w:lang w:val="it-IT"/>
        </w:rPr>
        <w:t xml:space="preserve"> ICOS3000 (FLASK_MOB_GAS_LT (1.1) - PIR01_00019__192407) c/o Istituto di Scienze dell’Atmosfera e del Clima del Consiglio Nazionale delle Ricerche Area Industriale </w:t>
      </w:r>
      <w:proofErr w:type="spellStart"/>
      <w:r w:rsidRPr="00A71150">
        <w:rPr>
          <w:rFonts w:ascii="Calibri" w:eastAsia="Calibri" w:hAnsi="Calibri" w:cs="Times New Roman"/>
          <w:color w:val="000000"/>
          <w:lang w:val="it-IT"/>
        </w:rPr>
        <w:t>Comp</w:t>
      </w:r>
      <w:proofErr w:type="spellEnd"/>
      <w:r w:rsidRPr="00A71150">
        <w:rPr>
          <w:rFonts w:ascii="Calibri" w:eastAsia="Calibri" w:hAnsi="Calibri" w:cs="Times New Roman"/>
          <w:color w:val="000000"/>
          <w:lang w:val="it-IT"/>
        </w:rPr>
        <w:t>. 15, 88046, Lamezia Terme</w:t>
      </w:r>
    </w:p>
    <w:p w14:paraId="2DE5434E" w14:textId="14529FBF" w:rsidR="00A71150" w:rsidRDefault="00A71150" w:rsidP="00A71150">
      <w:pPr>
        <w:widowControl/>
        <w:numPr>
          <w:ilvl w:val="3"/>
          <w:numId w:val="8"/>
        </w:numPr>
        <w:pBdr>
          <w:top w:val="nil"/>
          <w:left w:val="nil"/>
          <w:bottom w:val="nil"/>
          <w:right w:val="nil"/>
          <w:between w:val="nil"/>
        </w:pBdr>
        <w:suppressAutoHyphens/>
        <w:autoSpaceDE/>
        <w:autoSpaceDN/>
        <w:spacing w:before="60" w:after="60" w:line="259" w:lineRule="auto"/>
        <w:ind w:left="284" w:hanging="284"/>
        <w:jc w:val="both"/>
        <w:textDirection w:val="btLr"/>
        <w:textAlignment w:val="top"/>
        <w:outlineLvl w:val="0"/>
        <w:rPr>
          <w:rFonts w:ascii="Calibri" w:eastAsia="Calibri" w:hAnsi="Calibri" w:cs="Times New Roman"/>
          <w:color w:val="000000"/>
          <w:lang w:val="it-IT"/>
        </w:rPr>
      </w:pPr>
      <w:r>
        <w:rPr>
          <w:rFonts w:ascii="Calibri" w:eastAsia="Calibri" w:hAnsi="Calibri" w:cs="Times New Roman"/>
          <w:color w:val="000000"/>
          <w:lang w:val="it-IT"/>
        </w:rPr>
        <w:t xml:space="preserve">Nr </w:t>
      </w:r>
      <w:r w:rsidRPr="00A71150">
        <w:rPr>
          <w:rFonts w:ascii="Calibri" w:eastAsia="Calibri" w:hAnsi="Calibri" w:cs="Times New Roman"/>
          <w:color w:val="000000"/>
          <w:lang w:val="it-IT"/>
        </w:rPr>
        <w:t xml:space="preserve">4 casse coibentate per alloggio e trasporto </w:t>
      </w:r>
      <w:proofErr w:type="spellStart"/>
      <w:r w:rsidRPr="00A71150">
        <w:rPr>
          <w:rFonts w:ascii="Calibri" w:eastAsia="Calibri" w:hAnsi="Calibri" w:cs="Times New Roman"/>
          <w:color w:val="000000"/>
          <w:lang w:val="it-IT"/>
        </w:rPr>
        <w:t>flask</w:t>
      </w:r>
      <w:proofErr w:type="spellEnd"/>
      <w:r w:rsidRPr="00A71150">
        <w:rPr>
          <w:rFonts w:ascii="Calibri" w:eastAsia="Calibri" w:hAnsi="Calibri" w:cs="Times New Roman"/>
          <w:color w:val="000000"/>
          <w:lang w:val="it-IT"/>
        </w:rPr>
        <w:t xml:space="preserve"> ICOS3000 (FLASK_CMN_1.1 - PIR01_00019__191910) c/o</w:t>
      </w:r>
      <w:r>
        <w:rPr>
          <w:rFonts w:ascii="Calibri" w:eastAsia="Calibri" w:hAnsi="Calibri" w:cs="Times New Roman"/>
          <w:color w:val="000000"/>
          <w:lang w:val="it-IT"/>
        </w:rPr>
        <w:t xml:space="preserve"> </w:t>
      </w:r>
      <w:r w:rsidRPr="00A71150">
        <w:rPr>
          <w:rFonts w:ascii="Calibri" w:eastAsia="Calibri" w:hAnsi="Calibri" w:cs="Times New Roman"/>
          <w:color w:val="000000"/>
          <w:lang w:val="it-IT"/>
        </w:rPr>
        <w:t>Istituto di Scienze dell’Atmosfera e del Clima del Consiglio Nazionale delle Ricerche, Via Gobett</w:t>
      </w:r>
      <w:r w:rsidR="00D775F0">
        <w:rPr>
          <w:rFonts w:ascii="Calibri" w:eastAsia="Calibri" w:hAnsi="Calibri" w:cs="Times New Roman"/>
          <w:color w:val="000000"/>
          <w:lang w:val="it-IT"/>
        </w:rPr>
        <w:t>i 101, I-40129 Bologna, ITALIA.</w:t>
      </w:r>
    </w:p>
    <w:p w14:paraId="40C72419" w14:textId="77777777" w:rsidR="00D775F0" w:rsidRDefault="00D775F0" w:rsidP="00D775F0">
      <w:pPr>
        <w:widowControl/>
        <w:numPr>
          <w:ilvl w:val="2"/>
          <w:numId w:val="8"/>
        </w:numPr>
        <w:pBdr>
          <w:top w:val="nil"/>
          <w:left w:val="nil"/>
          <w:bottom w:val="nil"/>
          <w:right w:val="nil"/>
          <w:between w:val="nil"/>
        </w:pBdr>
        <w:suppressAutoHyphens/>
        <w:autoSpaceDE/>
        <w:autoSpaceDN/>
        <w:spacing w:before="60" w:after="60" w:line="259" w:lineRule="auto"/>
        <w:jc w:val="both"/>
        <w:textDirection w:val="btLr"/>
        <w:textAlignment w:val="top"/>
        <w:outlineLvl w:val="0"/>
        <w:rPr>
          <w:rFonts w:ascii="Calibri" w:eastAsia="Calibri" w:hAnsi="Calibri" w:cs="Times New Roman"/>
          <w:color w:val="000000"/>
          <w:lang w:val="it-IT"/>
        </w:rPr>
      </w:pPr>
    </w:p>
    <w:p w14:paraId="4764C200" w14:textId="422FABBB" w:rsidR="00D775F0" w:rsidRPr="00D775F0" w:rsidRDefault="00D775F0" w:rsidP="00D775F0">
      <w:pPr>
        <w:widowControl/>
        <w:pBdr>
          <w:top w:val="nil"/>
          <w:left w:val="nil"/>
          <w:bottom w:val="nil"/>
          <w:right w:val="nil"/>
          <w:between w:val="nil"/>
        </w:pBdr>
        <w:suppressAutoHyphens/>
        <w:autoSpaceDE/>
        <w:autoSpaceDN/>
        <w:spacing w:line="259" w:lineRule="auto"/>
        <w:jc w:val="both"/>
        <w:textDirection w:val="btLr"/>
        <w:textAlignment w:val="top"/>
        <w:outlineLvl w:val="0"/>
        <w:rPr>
          <w:rFonts w:asciiTheme="minorHAnsi" w:hAnsiTheme="minorHAnsi"/>
          <w:b/>
          <w:lang w:val="it-IT"/>
        </w:rPr>
      </w:pPr>
      <w:r w:rsidRPr="00D775F0">
        <w:rPr>
          <w:rFonts w:asciiTheme="minorHAnsi" w:hAnsiTheme="minorHAnsi"/>
          <w:b/>
          <w:lang w:val="it-IT"/>
        </w:rPr>
        <w:t>TEMPI DI CONSEGNA</w:t>
      </w:r>
    </w:p>
    <w:p w14:paraId="39DC030B" w14:textId="3C261D30" w:rsidR="00D775F0" w:rsidRPr="00D775F0" w:rsidRDefault="00D775F0" w:rsidP="00D775F0">
      <w:pPr>
        <w:widowControl/>
        <w:pBdr>
          <w:top w:val="nil"/>
          <w:left w:val="nil"/>
          <w:bottom w:val="nil"/>
          <w:right w:val="nil"/>
          <w:between w:val="nil"/>
        </w:pBdr>
        <w:suppressAutoHyphens/>
        <w:autoSpaceDE/>
        <w:autoSpaceDN/>
        <w:spacing w:line="259" w:lineRule="auto"/>
        <w:jc w:val="both"/>
        <w:textDirection w:val="btLr"/>
        <w:textAlignment w:val="top"/>
        <w:outlineLvl w:val="0"/>
        <w:rPr>
          <w:rFonts w:asciiTheme="minorHAnsi" w:hAnsiTheme="minorHAnsi"/>
          <w:lang w:val="it-IT"/>
        </w:rPr>
      </w:pPr>
      <w:r w:rsidRPr="00D775F0">
        <w:rPr>
          <w:rFonts w:asciiTheme="minorHAnsi" w:hAnsiTheme="minorHAnsi"/>
          <w:lang w:val="it-IT"/>
        </w:rPr>
        <w:t>90 giorni d</w:t>
      </w:r>
      <w:r>
        <w:rPr>
          <w:rFonts w:asciiTheme="minorHAnsi" w:hAnsiTheme="minorHAnsi"/>
          <w:lang w:val="it-IT"/>
        </w:rPr>
        <w:t>alla stipula.</w:t>
      </w:r>
    </w:p>
    <w:p w14:paraId="2CFB4830" w14:textId="77777777" w:rsidR="00D775F0" w:rsidRPr="00A71150" w:rsidRDefault="00D775F0" w:rsidP="00D775F0">
      <w:pPr>
        <w:widowControl/>
        <w:pBdr>
          <w:top w:val="nil"/>
          <w:left w:val="nil"/>
          <w:bottom w:val="nil"/>
          <w:right w:val="nil"/>
          <w:between w:val="nil"/>
        </w:pBdr>
        <w:suppressAutoHyphens/>
        <w:autoSpaceDE/>
        <w:autoSpaceDN/>
        <w:spacing w:before="60" w:after="60" w:line="259" w:lineRule="auto"/>
        <w:ind w:left="1800"/>
        <w:jc w:val="both"/>
        <w:textDirection w:val="btLr"/>
        <w:textAlignment w:val="top"/>
        <w:outlineLvl w:val="0"/>
        <w:rPr>
          <w:rFonts w:ascii="Calibri" w:eastAsia="Calibri" w:hAnsi="Calibri" w:cs="Times New Roman"/>
          <w:color w:val="000000"/>
          <w:lang w:val="it-IT"/>
        </w:rPr>
      </w:pPr>
    </w:p>
    <w:p w14:paraId="47059908" w14:textId="5B04571B" w:rsidR="0034332B" w:rsidRPr="0034332B" w:rsidRDefault="00167B3C" w:rsidP="00523693">
      <w:pPr>
        <w:jc w:val="both"/>
        <w:rPr>
          <w:rFonts w:asciiTheme="minorHAnsi" w:hAnsiTheme="minorHAnsi"/>
          <w:lang w:val="it-IT"/>
        </w:rPr>
      </w:pPr>
      <w:r w:rsidRPr="0034332B">
        <w:rPr>
          <w:rFonts w:asciiTheme="minorHAnsi" w:hAnsiTheme="minorHAnsi"/>
          <w:b/>
          <w:lang w:val="it-IT"/>
        </w:rPr>
        <w:t>FATTURAZIONE</w:t>
      </w:r>
      <w:r w:rsidR="0034332B" w:rsidRPr="0034332B">
        <w:rPr>
          <w:rFonts w:asciiTheme="minorHAnsi" w:hAnsiTheme="minorHAnsi" w:hint="eastAsia"/>
          <w:lang w:val="it-IT"/>
        </w:rPr>
        <w:t>: il Fornitore</w:t>
      </w:r>
      <w:r w:rsidR="0034332B" w:rsidRPr="0034332B">
        <w:rPr>
          <w:rFonts w:asciiTheme="minorHAnsi" w:hAnsiTheme="minorHAnsi" w:hint="eastAsia"/>
          <w:b/>
          <w:lang w:val="it-IT"/>
        </w:rPr>
        <w:t xml:space="preserve"> </w:t>
      </w:r>
      <w:r w:rsidR="0034332B" w:rsidRPr="0034332B">
        <w:rPr>
          <w:rFonts w:asciiTheme="minorHAnsi" w:hAnsiTheme="minorHAnsi" w:hint="eastAsia"/>
          <w:lang w:val="it-IT"/>
        </w:rPr>
        <w:t>potrà inviare fattura elettronica dopo l</w:t>
      </w:r>
      <w:r w:rsidR="0034332B" w:rsidRPr="0034332B">
        <w:rPr>
          <w:rFonts w:asciiTheme="minorHAnsi" w:hAnsiTheme="minorHAnsi" w:hint="eastAsia"/>
          <w:lang w:val="it-IT"/>
        </w:rPr>
        <w:t>’</w:t>
      </w:r>
      <w:r w:rsidR="0034332B" w:rsidRPr="0034332B">
        <w:rPr>
          <w:rFonts w:asciiTheme="minorHAnsi" w:hAnsiTheme="minorHAnsi" w:hint="eastAsia"/>
          <w:lang w:val="it-IT"/>
        </w:rPr>
        <w:t xml:space="preserve">emissione del certificato di verifica di conformità di cui al precedente punto. </w:t>
      </w:r>
    </w:p>
    <w:p w14:paraId="3CCCB048" w14:textId="531BD428" w:rsidR="0034332B" w:rsidRDefault="0034332B" w:rsidP="00523693">
      <w:pPr>
        <w:jc w:val="both"/>
        <w:rPr>
          <w:rFonts w:asciiTheme="minorHAnsi" w:hAnsiTheme="minorHAnsi"/>
          <w:u w:val="single"/>
          <w:lang w:val="it-IT"/>
        </w:rPr>
      </w:pPr>
      <w:r w:rsidRPr="0034332B">
        <w:rPr>
          <w:rFonts w:asciiTheme="minorHAnsi" w:hAnsiTheme="minorHAnsi" w:hint="eastAsia"/>
          <w:b/>
          <w:bCs/>
          <w:u w:val="single"/>
          <w:lang w:val="it-IT"/>
        </w:rPr>
        <w:t>Per le operazioni con data di emissione della fattura dal</w:t>
      </w:r>
      <w:r w:rsidRPr="0034332B">
        <w:rPr>
          <w:rFonts w:asciiTheme="minorHAnsi" w:hAnsiTheme="minorHAnsi" w:hint="eastAsia"/>
          <w:u w:val="single"/>
          <w:lang w:val="it-IT"/>
        </w:rPr>
        <w:t xml:space="preserve"> </w:t>
      </w:r>
      <w:r w:rsidRPr="0034332B">
        <w:rPr>
          <w:rFonts w:asciiTheme="minorHAnsi" w:hAnsiTheme="minorHAnsi" w:hint="eastAsia"/>
          <w:b/>
          <w:bCs/>
          <w:u w:val="single"/>
          <w:lang w:val="it-IT"/>
        </w:rPr>
        <w:t xml:space="preserve">1 luglio 2017 </w:t>
      </w:r>
      <w:r w:rsidRPr="0034332B">
        <w:rPr>
          <w:rFonts w:asciiTheme="minorHAnsi" w:hAnsiTheme="minorHAnsi" w:hint="eastAsia"/>
          <w:u w:val="single"/>
          <w:lang w:val="it-IT"/>
        </w:rPr>
        <w:t xml:space="preserve">dovranno essere emesse fatture elettroniche con annotazione di </w:t>
      </w:r>
      <w:r w:rsidRPr="0034332B">
        <w:rPr>
          <w:rFonts w:asciiTheme="minorHAnsi" w:hAnsiTheme="minorHAnsi" w:hint="eastAsia"/>
          <w:b/>
          <w:bCs/>
          <w:u w:val="single"/>
          <w:lang w:val="it-IT"/>
        </w:rPr>
        <w:t xml:space="preserve">scissione dei pagamenti </w:t>
      </w:r>
      <w:r w:rsidRPr="0034332B">
        <w:rPr>
          <w:rFonts w:asciiTheme="minorHAnsi" w:hAnsiTheme="minorHAnsi" w:hint="eastAsia"/>
          <w:u w:val="single"/>
          <w:lang w:val="it-IT"/>
        </w:rPr>
        <w:t xml:space="preserve">tranne nei casi di applicazione di regimi speciali o nei casi di applicazione di reverse </w:t>
      </w:r>
      <w:proofErr w:type="spellStart"/>
      <w:r w:rsidRPr="0034332B">
        <w:rPr>
          <w:rFonts w:asciiTheme="minorHAnsi" w:hAnsiTheme="minorHAnsi" w:hint="eastAsia"/>
          <w:u w:val="single"/>
          <w:lang w:val="it-IT"/>
        </w:rPr>
        <w:t>charge</w:t>
      </w:r>
      <w:proofErr w:type="spellEnd"/>
      <w:r w:rsidRPr="0034332B">
        <w:rPr>
          <w:rFonts w:asciiTheme="minorHAnsi" w:hAnsiTheme="minorHAnsi" w:hint="eastAsia"/>
          <w:u w:val="single"/>
          <w:lang w:val="it-IT"/>
        </w:rPr>
        <w:t>.</w:t>
      </w:r>
    </w:p>
    <w:p w14:paraId="6DA6ED00" w14:textId="77777777" w:rsidR="008B5FDE" w:rsidRPr="0034332B" w:rsidRDefault="008B5FDE" w:rsidP="00523693">
      <w:pPr>
        <w:jc w:val="both"/>
        <w:rPr>
          <w:rFonts w:asciiTheme="minorHAnsi" w:hAnsiTheme="minorHAnsi"/>
          <w:u w:val="single"/>
          <w:lang w:val="it-IT"/>
        </w:rPr>
      </w:pPr>
    </w:p>
    <w:p w14:paraId="139394F9" w14:textId="77777777" w:rsidR="0034332B" w:rsidRPr="0034332B" w:rsidRDefault="0034332B" w:rsidP="00523693">
      <w:pPr>
        <w:jc w:val="both"/>
        <w:rPr>
          <w:rFonts w:asciiTheme="minorHAnsi" w:hAnsiTheme="minorHAnsi"/>
          <w:lang w:val="it-IT"/>
        </w:rPr>
      </w:pPr>
      <w:r w:rsidRPr="0034332B">
        <w:rPr>
          <w:rFonts w:asciiTheme="minorHAnsi" w:hAnsiTheme="minorHAnsi" w:hint="eastAsia"/>
          <w:lang w:val="it-IT"/>
        </w:rPr>
        <w:t>La fattura dovrà riportare, pena il rifiuto della stessa:</w:t>
      </w:r>
    </w:p>
    <w:p w14:paraId="1FC6CDA1" w14:textId="77777777" w:rsidR="0034332B" w:rsidRPr="0034332B" w:rsidRDefault="0034332B" w:rsidP="00523693">
      <w:pPr>
        <w:widowControl/>
        <w:numPr>
          <w:ilvl w:val="1"/>
          <w:numId w:val="6"/>
        </w:numPr>
        <w:autoSpaceDE/>
        <w:autoSpaceDN/>
        <w:jc w:val="both"/>
        <w:rPr>
          <w:rFonts w:asciiTheme="minorHAnsi" w:hAnsiTheme="minorHAnsi"/>
          <w:lang w:val="it-IT"/>
        </w:rPr>
      </w:pPr>
      <w:r w:rsidRPr="0034332B">
        <w:rPr>
          <w:rFonts w:asciiTheme="minorHAnsi" w:hAnsiTheme="minorHAnsi" w:hint="eastAsia"/>
          <w:lang w:val="it-IT"/>
        </w:rPr>
        <w:t>Il numero dell'ordine (Protocollo e data);</w:t>
      </w:r>
    </w:p>
    <w:p w14:paraId="28CB63AB" w14:textId="6C28D81E" w:rsidR="0034332B" w:rsidRPr="0034332B" w:rsidRDefault="0034332B" w:rsidP="00523693">
      <w:pPr>
        <w:widowControl/>
        <w:numPr>
          <w:ilvl w:val="1"/>
          <w:numId w:val="6"/>
        </w:numPr>
        <w:autoSpaceDE/>
        <w:autoSpaceDN/>
        <w:jc w:val="both"/>
        <w:rPr>
          <w:rFonts w:asciiTheme="minorHAnsi" w:hAnsiTheme="minorHAnsi"/>
          <w:lang w:val="it-IT"/>
        </w:rPr>
      </w:pPr>
      <w:r w:rsidRPr="0034332B">
        <w:rPr>
          <w:rFonts w:asciiTheme="minorHAnsi" w:hAnsiTheme="minorHAnsi" w:hint="eastAsia"/>
          <w:lang w:val="it-IT"/>
        </w:rPr>
        <w:t xml:space="preserve">CIG: </w:t>
      </w:r>
      <w:r w:rsidR="00523693" w:rsidRPr="00D775F0">
        <w:rPr>
          <w:rFonts w:ascii="Arial" w:hAnsi="Arial" w:cs="Arial"/>
          <w:b/>
          <w:bCs/>
          <w:sz w:val="20"/>
          <w:szCs w:val="20"/>
          <w:shd w:val="clear" w:color="auto" w:fill="FFFFFF"/>
          <w:lang w:val="it-IT"/>
        </w:rPr>
        <w:t>Z713178B80</w:t>
      </w:r>
      <w:r w:rsidRPr="00523693">
        <w:rPr>
          <w:rFonts w:asciiTheme="minorHAnsi" w:hAnsiTheme="minorHAnsi" w:hint="eastAsia"/>
          <w:b/>
          <w:bCs/>
          <w:lang w:val="it-IT"/>
        </w:rPr>
        <w:t xml:space="preserve"> </w:t>
      </w:r>
      <w:r w:rsidRPr="0034332B">
        <w:rPr>
          <w:rFonts w:asciiTheme="minorHAnsi" w:hAnsiTheme="minorHAnsi" w:hint="eastAsia"/>
          <w:lang w:val="it-IT"/>
        </w:rPr>
        <w:t>e   CUP</w:t>
      </w:r>
      <w:r w:rsidRPr="0034332B">
        <w:rPr>
          <w:rFonts w:asciiTheme="minorHAnsi" w:hAnsiTheme="minorHAnsi"/>
          <w:lang w:val="it-IT"/>
        </w:rPr>
        <w:t xml:space="preserve">: </w:t>
      </w:r>
      <w:r w:rsidRPr="0034332B">
        <w:rPr>
          <w:rFonts w:asciiTheme="minorHAnsi" w:hAnsiTheme="minorHAnsi"/>
          <w:b/>
          <w:lang w:val="it-IT"/>
        </w:rPr>
        <w:t>B27E19000040007</w:t>
      </w:r>
      <w:r w:rsidRPr="0034332B">
        <w:rPr>
          <w:rFonts w:asciiTheme="minorHAnsi" w:hAnsiTheme="minorHAnsi" w:hint="eastAsia"/>
          <w:lang w:val="it-IT"/>
        </w:rPr>
        <w:t>;</w:t>
      </w:r>
    </w:p>
    <w:p w14:paraId="1DBB6A38" w14:textId="77777777" w:rsidR="0034332B" w:rsidRPr="0034332B" w:rsidRDefault="0034332B" w:rsidP="00523693">
      <w:pPr>
        <w:widowControl/>
        <w:numPr>
          <w:ilvl w:val="1"/>
          <w:numId w:val="6"/>
        </w:numPr>
        <w:autoSpaceDE/>
        <w:autoSpaceDN/>
        <w:jc w:val="both"/>
        <w:rPr>
          <w:rFonts w:asciiTheme="minorHAnsi" w:hAnsiTheme="minorHAnsi"/>
          <w:lang w:val="it-IT"/>
        </w:rPr>
      </w:pPr>
      <w:r w:rsidRPr="0034332B">
        <w:rPr>
          <w:rFonts w:asciiTheme="minorHAnsi" w:hAnsiTheme="minorHAnsi" w:hint="eastAsia"/>
          <w:lang w:val="it-IT"/>
        </w:rPr>
        <w:t>Il codice IBAN del conto corrente dedicato di cui alla Legge 136/2010.</w:t>
      </w:r>
    </w:p>
    <w:p w14:paraId="39E6AAAE" w14:textId="0A3A0052" w:rsidR="0034332B" w:rsidRPr="0034332B" w:rsidRDefault="00167B3C" w:rsidP="00523693">
      <w:pPr>
        <w:spacing w:before="120" w:after="120"/>
        <w:jc w:val="both"/>
        <w:rPr>
          <w:rFonts w:asciiTheme="minorHAnsi" w:hAnsiTheme="minorHAnsi"/>
          <w:lang w:val="it-IT"/>
        </w:rPr>
      </w:pPr>
      <w:r w:rsidRPr="0034332B">
        <w:rPr>
          <w:rFonts w:asciiTheme="minorHAnsi" w:hAnsiTheme="minorHAnsi"/>
          <w:b/>
          <w:lang w:val="it-IT"/>
        </w:rPr>
        <w:t>MODALITÀ DI PAGAMENTO</w:t>
      </w:r>
      <w:r w:rsidR="0034332B" w:rsidRPr="0034332B">
        <w:rPr>
          <w:rFonts w:asciiTheme="minorHAnsi" w:hAnsiTheme="minorHAnsi" w:hint="eastAsia"/>
          <w:lang w:val="it-IT"/>
        </w:rPr>
        <w:tab/>
        <w:t xml:space="preserve">BONIFICO SU C/C BANCARIO  </w:t>
      </w:r>
    </w:p>
    <w:p w14:paraId="612EA1DC" w14:textId="054125B7" w:rsidR="0034332B" w:rsidRPr="0034332B" w:rsidRDefault="00167B3C" w:rsidP="008D5223">
      <w:pPr>
        <w:jc w:val="both"/>
        <w:rPr>
          <w:rFonts w:asciiTheme="minorHAnsi" w:hAnsiTheme="minorHAnsi"/>
          <w:lang w:val="it-IT"/>
        </w:rPr>
      </w:pPr>
      <w:r w:rsidRPr="0034332B">
        <w:rPr>
          <w:rFonts w:asciiTheme="minorHAnsi" w:hAnsiTheme="minorHAnsi"/>
          <w:b/>
          <w:lang w:val="it-IT"/>
        </w:rPr>
        <w:t>TERMINI DI PAGAMENTO</w:t>
      </w:r>
      <w:r w:rsidR="0034332B" w:rsidRPr="0034332B">
        <w:rPr>
          <w:rFonts w:asciiTheme="minorHAnsi" w:hAnsiTheme="minorHAnsi" w:hint="eastAsia"/>
          <w:lang w:val="it-IT"/>
        </w:rPr>
        <w:tab/>
        <w:t>bonifico bancario a 30 giorni dalla verifica di conformità/regolare esecuzione</w:t>
      </w:r>
      <w:r w:rsidR="008D5223">
        <w:rPr>
          <w:rFonts w:asciiTheme="minorHAnsi" w:hAnsiTheme="minorHAnsi"/>
          <w:lang w:val="it-IT"/>
        </w:rPr>
        <w:t>.</w:t>
      </w:r>
    </w:p>
    <w:p w14:paraId="55046E28" w14:textId="77777777" w:rsidR="0034332B" w:rsidRPr="0034332B" w:rsidRDefault="0034332B" w:rsidP="008D5223">
      <w:pPr>
        <w:jc w:val="both"/>
        <w:rPr>
          <w:rFonts w:asciiTheme="minorHAnsi" w:hAnsiTheme="minorHAnsi"/>
          <w:lang w:val="it-IT"/>
        </w:rPr>
      </w:pPr>
      <w:r w:rsidRPr="0034332B">
        <w:rPr>
          <w:rFonts w:asciiTheme="minorHAnsi" w:hAnsiTheme="minorHAnsi" w:hint="eastAsia"/>
          <w:lang w:val="it-IT"/>
        </w:rPr>
        <w:t xml:space="preserve">Il pagamento della fattura avverrà mediante bonifico bancario e sarà subordinato alla verifica del rispetto, da parte </w:t>
      </w:r>
      <w:proofErr w:type="spellStart"/>
      <w:r w:rsidRPr="0034332B">
        <w:rPr>
          <w:rFonts w:asciiTheme="minorHAnsi" w:hAnsiTheme="minorHAnsi" w:hint="eastAsia"/>
          <w:lang w:val="it-IT"/>
        </w:rPr>
        <w:t>dell</w:t>
      </w:r>
      <w:proofErr w:type="spellEnd"/>
      <w:r w:rsidRPr="0034332B">
        <w:rPr>
          <w:rFonts w:asciiTheme="minorHAnsi" w:hAnsiTheme="minorHAnsi" w:hint="eastAsia"/>
          <w:lang w:val="it-IT"/>
        </w:rPr>
        <w:t>’</w:t>
      </w:r>
      <w:r w:rsidRPr="0034332B">
        <w:rPr>
          <w:rFonts w:asciiTheme="minorHAnsi" w:hAnsiTheme="minorHAnsi" w:hint="eastAsia"/>
          <w:lang w:val="it-IT"/>
        </w:rPr>
        <w:t>operatore economico, di tutte le condizioni contrattuali e degli adempimenti di legge. In caso negativo, il termine si intende sospeso fino al completo adempimento, salvo e riservato ogni altro provvedimento da parte della Stazione appaltante;</w:t>
      </w:r>
    </w:p>
    <w:p w14:paraId="2602CA53" w14:textId="47FB52C2" w:rsidR="0034332B" w:rsidRPr="0034332B" w:rsidRDefault="00167B3C" w:rsidP="00523693">
      <w:pPr>
        <w:spacing w:before="120"/>
        <w:jc w:val="both"/>
        <w:rPr>
          <w:rFonts w:asciiTheme="minorHAnsi" w:hAnsiTheme="minorHAnsi"/>
          <w:lang w:val="it-IT"/>
        </w:rPr>
      </w:pPr>
      <w:r w:rsidRPr="0034332B">
        <w:rPr>
          <w:rFonts w:asciiTheme="minorHAnsi" w:hAnsiTheme="minorHAnsi"/>
          <w:b/>
          <w:bCs/>
          <w:lang w:val="it-IT"/>
        </w:rPr>
        <w:t xml:space="preserve">OBBLIGHI RELATIVI ALLA TRACCIABILITÀ DEI FLUSSI FINANZIARI </w:t>
      </w:r>
      <w:r w:rsidR="0034332B" w:rsidRPr="0034332B">
        <w:rPr>
          <w:rFonts w:asciiTheme="minorHAnsi" w:hAnsiTheme="minorHAnsi" w:hint="eastAsia"/>
          <w:b/>
          <w:bCs/>
          <w:lang w:val="it-IT"/>
        </w:rPr>
        <w:t>(</w:t>
      </w:r>
      <w:r w:rsidR="0034332B" w:rsidRPr="0034332B">
        <w:rPr>
          <w:rFonts w:asciiTheme="minorHAnsi" w:hAnsiTheme="minorHAnsi" w:hint="eastAsia"/>
          <w:lang w:val="it-IT"/>
        </w:rPr>
        <w:t>disposizioni legge n. 136/2010)</w:t>
      </w:r>
    </w:p>
    <w:p w14:paraId="5418AB2B" w14:textId="77777777" w:rsidR="0034332B" w:rsidRPr="0034332B" w:rsidRDefault="0034332B" w:rsidP="00523693">
      <w:pPr>
        <w:widowControl/>
        <w:numPr>
          <w:ilvl w:val="0"/>
          <w:numId w:val="7"/>
        </w:numPr>
        <w:autoSpaceDE/>
        <w:autoSpaceDN/>
        <w:jc w:val="both"/>
        <w:rPr>
          <w:rFonts w:asciiTheme="minorHAnsi" w:hAnsiTheme="minorHAnsi"/>
          <w:lang w:val="it-IT"/>
        </w:rPr>
      </w:pPr>
      <w:r w:rsidRPr="0034332B">
        <w:rPr>
          <w:rFonts w:asciiTheme="minorHAnsi" w:hAnsiTheme="minorHAnsi" w:hint="eastAsia"/>
          <w:lang w:val="it-IT"/>
        </w:rPr>
        <w:t xml:space="preserve">La Ditta/Società assume tutti gli obblighi relativi alla tracciabilità dei flussi finanziari di cui </w:t>
      </w:r>
      <w:proofErr w:type="spellStart"/>
      <w:r w:rsidRPr="0034332B">
        <w:rPr>
          <w:rFonts w:asciiTheme="minorHAnsi" w:hAnsiTheme="minorHAnsi" w:hint="eastAsia"/>
          <w:lang w:val="it-IT"/>
        </w:rPr>
        <w:t>all</w:t>
      </w:r>
      <w:proofErr w:type="spellEnd"/>
      <w:r w:rsidRPr="0034332B">
        <w:rPr>
          <w:rFonts w:asciiTheme="minorHAnsi" w:hAnsiTheme="minorHAnsi" w:hint="eastAsia"/>
          <w:lang w:val="it-IT"/>
        </w:rPr>
        <w:t>’</w:t>
      </w:r>
      <w:r w:rsidRPr="0034332B">
        <w:rPr>
          <w:rFonts w:asciiTheme="minorHAnsi" w:hAnsiTheme="minorHAnsi" w:hint="eastAsia"/>
          <w:lang w:val="it-IT"/>
        </w:rPr>
        <w:t>art.3 della legge n. 136/2010 e successive modifiche</w:t>
      </w:r>
    </w:p>
    <w:p w14:paraId="516B625E" w14:textId="77777777" w:rsidR="0034332B" w:rsidRPr="0034332B" w:rsidRDefault="0034332B" w:rsidP="00523693">
      <w:pPr>
        <w:widowControl/>
        <w:numPr>
          <w:ilvl w:val="0"/>
          <w:numId w:val="7"/>
        </w:numPr>
        <w:autoSpaceDE/>
        <w:autoSpaceDN/>
        <w:jc w:val="both"/>
        <w:rPr>
          <w:rFonts w:asciiTheme="minorHAnsi" w:hAnsiTheme="minorHAnsi"/>
          <w:lang w:val="it-IT"/>
        </w:rPr>
      </w:pPr>
      <w:r w:rsidRPr="0034332B">
        <w:rPr>
          <w:rFonts w:asciiTheme="minorHAnsi" w:hAnsiTheme="minorHAnsi" w:hint="eastAsia"/>
          <w:lang w:val="it-IT"/>
        </w:rPr>
        <w:lastRenderedPageBreak/>
        <w:t xml:space="preserve">La Ditta/Società si obbliga a comunicare gli estremi del conto corrente dedicato, non in modo esclusivo, alle commesse pubbliche per tutti i movimenti finanziari relativi al presente contratto, entro sette giorni </w:t>
      </w:r>
      <w:proofErr w:type="spellStart"/>
      <w:r w:rsidRPr="0034332B">
        <w:rPr>
          <w:rFonts w:asciiTheme="minorHAnsi" w:hAnsiTheme="minorHAnsi" w:hint="eastAsia"/>
          <w:lang w:val="it-IT"/>
        </w:rPr>
        <w:t>dall</w:t>
      </w:r>
      <w:proofErr w:type="spellEnd"/>
      <w:r w:rsidRPr="0034332B">
        <w:rPr>
          <w:rFonts w:asciiTheme="minorHAnsi" w:hAnsiTheme="minorHAnsi" w:hint="eastAsia"/>
          <w:lang w:val="it-IT"/>
        </w:rPr>
        <w:t>’</w:t>
      </w:r>
      <w:r w:rsidRPr="0034332B">
        <w:rPr>
          <w:rFonts w:asciiTheme="minorHAnsi" w:hAnsiTheme="minorHAnsi" w:hint="eastAsia"/>
          <w:lang w:val="it-IT"/>
        </w:rPr>
        <w:t>accensione dello stesso, nonché le generalità ed il codice fiscale delle persone delegate ad operare sullo stesso.</w:t>
      </w:r>
    </w:p>
    <w:p w14:paraId="1FA99082" w14:textId="7E7203FE" w:rsidR="0034332B" w:rsidRPr="0034332B" w:rsidRDefault="0034332B" w:rsidP="00523693">
      <w:pPr>
        <w:widowControl/>
        <w:numPr>
          <w:ilvl w:val="0"/>
          <w:numId w:val="7"/>
        </w:numPr>
        <w:autoSpaceDE/>
        <w:autoSpaceDN/>
        <w:jc w:val="both"/>
        <w:rPr>
          <w:rFonts w:asciiTheme="minorHAnsi" w:hAnsiTheme="minorHAnsi"/>
          <w:lang w:val="it-IT"/>
        </w:rPr>
      </w:pPr>
      <w:r w:rsidRPr="0034332B">
        <w:rPr>
          <w:rFonts w:asciiTheme="minorHAnsi" w:hAnsiTheme="minorHAnsi" w:hint="eastAsia"/>
          <w:lang w:val="it-IT"/>
        </w:rPr>
        <w:t>Clausola risolutiva espressa: qualora la Ditta/Società non utilizzi</w:t>
      </w:r>
      <w:r w:rsidR="00D775F0">
        <w:rPr>
          <w:rFonts w:asciiTheme="minorHAnsi" w:hAnsiTheme="minorHAnsi" w:hint="eastAsia"/>
          <w:lang w:val="it-IT"/>
        </w:rPr>
        <w:t xml:space="preserve"> il conto corrente indicato al </w:t>
      </w:r>
      <w:r w:rsidRPr="0034332B">
        <w:rPr>
          <w:rFonts w:asciiTheme="minorHAnsi" w:hAnsiTheme="minorHAnsi" w:hint="eastAsia"/>
          <w:lang w:val="it-IT"/>
        </w:rPr>
        <w:t xml:space="preserve">precedente punto per i movimenti finanziari relativi al presente contratto, lo stesso dovrà intendersi risolto di diritto secondo quanto disposto </w:t>
      </w:r>
      <w:proofErr w:type="spellStart"/>
      <w:r w:rsidRPr="0034332B">
        <w:rPr>
          <w:rFonts w:asciiTheme="minorHAnsi" w:hAnsiTheme="minorHAnsi" w:hint="eastAsia"/>
          <w:lang w:val="it-IT"/>
        </w:rPr>
        <w:t>dall</w:t>
      </w:r>
      <w:proofErr w:type="spellEnd"/>
      <w:r w:rsidRPr="0034332B">
        <w:rPr>
          <w:rFonts w:asciiTheme="minorHAnsi" w:hAnsiTheme="minorHAnsi" w:hint="eastAsia"/>
          <w:lang w:val="it-IT"/>
        </w:rPr>
        <w:t>’</w:t>
      </w:r>
      <w:r w:rsidRPr="0034332B">
        <w:rPr>
          <w:rFonts w:asciiTheme="minorHAnsi" w:hAnsiTheme="minorHAnsi" w:hint="eastAsia"/>
          <w:lang w:val="it-IT"/>
        </w:rPr>
        <w:t>art. 3, comma 8 della legge n. 136/2010.</w:t>
      </w:r>
    </w:p>
    <w:p w14:paraId="47199555" w14:textId="719093AE" w:rsidR="0034332B" w:rsidRPr="0034332B" w:rsidRDefault="00167B3C" w:rsidP="00523693">
      <w:pPr>
        <w:spacing w:before="120"/>
        <w:jc w:val="both"/>
        <w:rPr>
          <w:rFonts w:asciiTheme="minorHAnsi" w:hAnsiTheme="minorHAnsi"/>
          <w:b/>
          <w:lang w:val="it-IT"/>
        </w:rPr>
      </w:pPr>
      <w:r w:rsidRPr="0034332B">
        <w:rPr>
          <w:rFonts w:asciiTheme="minorHAnsi" w:hAnsiTheme="minorHAnsi"/>
          <w:b/>
          <w:lang w:val="it-IT"/>
        </w:rPr>
        <w:t>OSSERVANZA DI LEGGI, DECRETI, REGOLAMENTI</w:t>
      </w:r>
    </w:p>
    <w:p w14:paraId="3B82AA02" w14:textId="77777777" w:rsidR="0034332B" w:rsidRPr="0034332B" w:rsidRDefault="0034332B" w:rsidP="00523693">
      <w:pPr>
        <w:jc w:val="both"/>
        <w:rPr>
          <w:rFonts w:asciiTheme="minorHAnsi" w:hAnsiTheme="minorHAnsi"/>
          <w:lang w:val="it-IT"/>
        </w:rPr>
      </w:pPr>
      <w:r w:rsidRPr="0034332B">
        <w:rPr>
          <w:rFonts w:asciiTheme="minorHAnsi" w:hAnsiTheme="minorHAnsi" w:hint="eastAsia"/>
          <w:lang w:val="it-IT"/>
        </w:rPr>
        <w:t xml:space="preserve">Ai sensi </w:t>
      </w:r>
      <w:proofErr w:type="spellStart"/>
      <w:r w:rsidRPr="0034332B">
        <w:rPr>
          <w:rFonts w:asciiTheme="minorHAnsi" w:hAnsiTheme="minorHAnsi" w:hint="eastAsia"/>
          <w:lang w:val="it-IT"/>
        </w:rPr>
        <w:t>dell</w:t>
      </w:r>
      <w:proofErr w:type="spellEnd"/>
      <w:r w:rsidRPr="0034332B">
        <w:rPr>
          <w:rFonts w:asciiTheme="minorHAnsi" w:hAnsiTheme="minorHAnsi" w:hint="eastAsia"/>
          <w:lang w:val="it-IT"/>
        </w:rPr>
        <w:t>’</w:t>
      </w:r>
      <w:r w:rsidRPr="0034332B">
        <w:rPr>
          <w:rFonts w:asciiTheme="minorHAnsi" w:hAnsiTheme="minorHAnsi" w:hint="eastAsia"/>
          <w:lang w:val="it-IT"/>
        </w:rPr>
        <w:t xml:space="preserve">art. 1 co. 13 del D.L. n. 95/2012 convertito in legge L. 135 del 07/08/2012 il CNR ha il diritto di recedere in qualsiasi momento dal presente contratto, previa formale comunicazione, alla ditta/società con preavviso non inferiore a gg. 15, nel caso in cui, tenuto conto </w:t>
      </w:r>
      <w:proofErr w:type="spellStart"/>
      <w:r w:rsidRPr="0034332B">
        <w:rPr>
          <w:rFonts w:asciiTheme="minorHAnsi" w:hAnsiTheme="minorHAnsi" w:hint="eastAsia"/>
          <w:lang w:val="it-IT"/>
        </w:rPr>
        <w:t>dell</w:t>
      </w:r>
      <w:proofErr w:type="spellEnd"/>
      <w:r w:rsidRPr="0034332B">
        <w:rPr>
          <w:rFonts w:asciiTheme="minorHAnsi" w:hAnsiTheme="minorHAnsi" w:hint="eastAsia"/>
          <w:lang w:val="it-IT"/>
        </w:rPr>
        <w:t>’</w:t>
      </w:r>
      <w:r w:rsidRPr="0034332B">
        <w:rPr>
          <w:rFonts w:asciiTheme="minorHAnsi" w:hAnsiTheme="minorHAnsi" w:hint="eastAsia"/>
          <w:lang w:val="it-IT"/>
        </w:rPr>
        <w:t xml:space="preserve">importo dovuto per le prestazioni non ancora eseguite, i parametri delle Convenzioni sottoscritte da CONSIP successivamente alla stipula del presente, siano migliorative rispetto a quelle del contratto stipulato e la Ditta/Società non acconsenta ad una modifica delle condizioni economiche tali da rispettare il limite di cui </w:t>
      </w:r>
      <w:proofErr w:type="spellStart"/>
      <w:r w:rsidRPr="0034332B">
        <w:rPr>
          <w:rFonts w:asciiTheme="minorHAnsi" w:hAnsiTheme="minorHAnsi" w:hint="eastAsia"/>
          <w:lang w:val="it-IT"/>
        </w:rPr>
        <w:t>all</w:t>
      </w:r>
      <w:proofErr w:type="spellEnd"/>
      <w:r w:rsidRPr="0034332B">
        <w:rPr>
          <w:rFonts w:asciiTheme="minorHAnsi" w:hAnsiTheme="minorHAnsi" w:hint="eastAsia"/>
          <w:lang w:val="it-IT"/>
        </w:rPr>
        <w:t>’</w:t>
      </w:r>
      <w:r w:rsidRPr="0034332B">
        <w:rPr>
          <w:rFonts w:asciiTheme="minorHAnsi" w:hAnsiTheme="minorHAnsi" w:hint="eastAsia"/>
          <w:lang w:val="it-IT"/>
        </w:rPr>
        <w:t>art. 26, co. 3 della L. 23/12/1999 n. 488.</w:t>
      </w:r>
    </w:p>
    <w:p w14:paraId="1EC0D72F" w14:textId="54CFB86F" w:rsidR="0034332B" w:rsidRPr="0034332B" w:rsidRDefault="00167B3C" w:rsidP="008B5FDE">
      <w:pPr>
        <w:spacing w:before="120"/>
        <w:jc w:val="both"/>
        <w:rPr>
          <w:rFonts w:asciiTheme="minorHAnsi" w:hAnsiTheme="minorHAnsi"/>
          <w:b/>
          <w:bCs/>
          <w:lang w:val="it-IT"/>
        </w:rPr>
      </w:pPr>
      <w:r w:rsidRPr="0034332B">
        <w:rPr>
          <w:rFonts w:asciiTheme="minorHAnsi" w:hAnsiTheme="minorHAnsi"/>
          <w:b/>
          <w:bCs/>
          <w:lang w:val="it-IT"/>
        </w:rPr>
        <w:t>TRATTAMENTO DEI DATI PERSONALI</w:t>
      </w:r>
    </w:p>
    <w:p w14:paraId="505D3D16" w14:textId="55E16316" w:rsidR="0034332B" w:rsidRPr="0034332B" w:rsidRDefault="00D775F0" w:rsidP="00523693">
      <w:pPr>
        <w:jc w:val="both"/>
        <w:rPr>
          <w:rFonts w:asciiTheme="minorHAnsi" w:hAnsiTheme="minorHAnsi"/>
          <w:lang w:val="it-IT"/>
        </w:rPr>
      </w:pPr>
      <w:r>
        <w:rPr>
          <w:rFonts w:asciiTheme="minorHAnsi" w:hAnsiTheme="minorHAnsi"/>
          <w:lang w:val="it-IT"/>
        </w:rPr>
        <w:t>Vedasi documento “</w:t>
      </w:r>
      <w:r w:rsidR="0034332B" w:rsidRPr="0034332B">
        <w:rPr>
          <w:rFonts w:asciiTheme="minorHAnsi" w:hAnsiTheme="minorHAnsi"/>
          <w:lang w:val="it-IT"/>
        </w:rPr>
        <w:t>All</w:t>
      </w:r>
      <w:r w:rsidR="008B5FDE">
        <w:rPr>
          <w:rFonts w:asciiTheme="minorHAnsi" w:hAnsiTheme="minorHAnsi"/>
          <w:lang w:val="it-IT"/>
        </w:rPr>
        <w:t>.</w:t>
      </w:r>
      <w:r w:rsidR="0034332B" w:rsidRPr="0034332B">
        <w:rPr>
          <w:rFonts w:asciiTheme="minorHAnsi" w:hAnsiTheme="minorHAnsi"/>
          <w:lang w:val="it-IT"/>
        </w:rPr>
        <w:t xml:space="preserve">4 Informativa Privacy gara </w:t>
      </w:r>
      <w:r w:rsidR="0034332B" w:rsidRPr="008B5FDE">
        <w:rPr>
          <w:rFonts w:asciiTheme="minorHAnsi" w:hAnsiTheme="minorHAnsi"/>
          <w:b/>
          <w:bCs/>
          <w:lang w:val="it-IT"/>
        </w:rPr>
        <w:t>CIG -Z713178B80</w:t>
      </w:r>
      <w:r w:rsidR="0034332B" w:rsidRPr="0034332B">
        <w:rPr>
          <w:rFonts w:asciiTheme="minorHAnsi" w:hAnsiTheme="minorHAnsi"/>
          <w:lang w:val="it-IT"/>
        </w:rPr>
        <w:t xml:space="preserve">” allegato alla presente trattativa e da </w:t>
      </w:r>
      <w:r w:rsidR="008B5FDE">
        <w:rPr>
          <w:rFonts w:asciiTheme="minorHAnsi" w:hAnsiTheme="minorHAnsi"/>
          <w:lang w:val="it-IT"/>
        </w:rPr>
        <w:t xml:space="preserve">restituire </w:t>
      </w:r>
      <w:r w:rsidR="0034332B" w:rsidRPr="0034332B">
        <w:rPr>
          <w:rFonts w:asciiTheme="minorHAnsi" w:hAnsiTheme="minorHAnsi"/>
          <w:lang w:val="it-IT"/>
        </w:rPr>
        <w:t>firmato</w:t>
      </w:r>
      <w:r w:rsidR="008B5FDE">
        <w:rPr>
          <w:rFonts w:asciiTheme="minorHAnsi" w:hAnsiTheme="minorHAnsi"/>
          <w:lang w:val="it-IT"/>
        </w:rPr>
        <w:t xml:space="preserve"> per accettazione.</w:t>
      </w:r>
    </w:p>
    <w:p w14:paraId="479F1CF3" w14:textId="4BA82393" w:rsidR="0034332B" w:rsidRPr="0034332B" w:rsidRDefault="00167B3C" w:rsidP="00523693">
      <w:pPr>
        <w:widowControl/>
        <w:autoSpaceDE/>
        <w:autoSpaceDN/>
        <w:spacing w:before="120"/>
        <w:jc w:val="both"/>
        <w:rPr>
          <w:rFonts w:asciiTheme="minorHAnsi" w:hAnsiTheme="minorHAnsi"/>
          <w:b/>
          <w:bCs/>
          <w:lang w:val="it-IT"/>
        </w:rPr>
      </w:pPr>
      <w:bookmarkStart w:id="1" w:name="_bookmark7"/>
      <w:bookmarkStart w:id="2" w:name="_Toc68191248"/>
      <w:bookmarkEnd w:id="1"/>
      <w:r w:rsidRPr="0034332B">
        <w:rPr>
          <w:rFonts w:asciiTheme="minorHAnsi" w:hAnsiTheme="minorHAnsi"/>
          <w:b/>
          <w:bCs/>
          <w:lang w:val="it-IT"/>
        </w:rPr>
        <w:t>PENALI</w:t>
      </w:r>
      <w:bookmarkEnd w:id="2"/>
    </w:p>
    <w:p w14:paraId="62D34A23" w14:textId="77777777" w:rsidR="0034332B" w:rsidRPr="0034332B" w:rsidRDefault="0034332B" w:rsidP="00D775F0">
      <w:pPr>
        <w:widowControl/>
        <w:autoSpaceDE/>
        <w:autoSpaceDN/>
        <w:spacing w:line="276" w:lineRule="auto"/>
        <w:jc w:val="both"/>
        <w:rPr>
          <w:rFonts w:asciiTheme="minorHAnsi" w:hAnsiTheme="minorHAnsi"/>
          <w:lang w:val="it-IT"/>
        </w:rPr>
      </w:pPr>
      <w:r w:rsidRPr="0034332B">
        <w:rPr>
          <w:rFonts w:asciiTheme="minorHAnsi" w:hAnsiTheme="minorHAnsi"/>
          <w:lang w:val="it-IT"/>
        </w:rPr>
        <w:t>Per ogni giorno solare di ritardo nell’esecuzione dei servizi oggetto del presente appalto si applicherà una penale pari all’1‰ (uno per mille) dell’importo contrattuale del singolo lotto al netto dell’IVA.</w:t>
      </w:r>
    </w:p>
    <w:p w14:paraId="5ED01E85" w14:textId="77777777" w:rsidR="0034332B" w:rsidRPr="0034332B" w:rsidRDefault="0034332B" w:rsidP="00D775F0">
      <w:pPr>
        <w:widowControl/>
        <w:autoSpaceDE/>
        <w:autoSpaceDN/>
        <w:spacing w:line="276" w:lineRule="auto"/>
        <w:jc w:val="both"/>
        <w:rPr>
          <w:rFonts w:asciiTheme="minorHAnsi" w:hAnsiTheme="minorHAnsi"/>
          <w:lang w:val="it-IT"/>
        </w:rPr>
      </w:pPr>
      <w:r w:rsidRPr="0034332B">
        <w:rPr>
          <w:rFonts w:asciiTheme="minorHAnsi" w:hAnsiTheme="minorHAnsi"/>
          <w:lang w:val="it-IT"/>
        </w:rPr>
        <w:t>Nell’ipotesi in cui l’importo delle penali applicabili superi l’importo pari al 10% (dieci per cento) dell’importo contrattuale, al netto dell’IVA, il CNR DTA risolverà il contratto in danno all’Aggiudicatario, salvo il diritto al risarcimento dell’eventuale danno patito.</w:t>
      </w:r>
    </w:p>
    <w:p w14:paraId="712FAD2E" w14:textId="77777777" w:rsidR="0034332B" w:rsidRPr="0034332B" w:rsidRDefault="0034332B" w:rsidP="00D775F0">
      <w:pPr>
        <w:widowControl/>
        <w:autoSpaceDE/>
        <w:autoSpaceDN/>
        <w:spacing w:line="276" w:lineRule="auto"/>
        <w:jc w:val="both"/>
        <w:rPr>
          <w:rFonts w:asciiTheme="minorHAnsi" w:hAnsiTheme="minorHAnsi"/>
          <w:lang w:val="it-IT"/>
        </w:rPr>
      </w:pPr>
      <w:r w:rsidRPr="0034332B">
        <w:rPr>
          <w:rFonts w:asciiTheme="minorHAnsi" w:hAnsiTheme="minorHAnsi"/>
          <w:lang w:val="it-IT"/>
        </w:rPr>
        <w:t>Gli inadempimenti contrattuali che daranno luogo all’applicazione di penali di cui ai precedenti periodi verranno contestati all’Aggiudicatario per iscritto.</w:t>
      </w:r>
    </w:p>
    <w:p w14:paraId="4D13A7E2" w14:textId="77777777" w:rsidR="0034332B" w:rsidRPr="0034332B" w:rsidRDefault="0034332B" w:rsidP="00D775F0">
      <w:pPr>
        <w:widowControl/>
        <w:autoSpaceDE/>
        <w:autoSpaceDN/>
        <w:spacing w:line="276" w:lineRule="auto"/>
        <w:jc w:val="both"/>
        <w:rPr>
          <w:rFonts w:asciiTheme="minorHAnsi" w:hAnsiTheme="minorHAnsi"/>
          <w:lang w:val="it-IT"/>
        </w:rPr>
      </w:pPr>
      <w:r w:rsidRPr="0034332B">
        <w:rPr>
          <w:rFonts w:asciiTheme="minorHAnsi" w:hAnsiTheme="minorHAnsi"/>
          <w:lang w:val="it-IT"/>
        </w:rPr>
        <w:t xml:space="preserve">L’Aggiudicatario dovrà comunicare in ogni caso le proprie deduzioni nel termine massimo di 5 (cinque) giorni lavorativi dalla stessa contestazione. Qualora dette deduzioni non siano </w:t>
      </w:r>
      <w:proofErr w:type="spellStart"/>
      <w:r w:rsidRPr="0034332B">
        <w:rPr>
          <w:rFonts w:asciiTheme="minorHAnsi" w:hAnsiTheme="minorHAnsi"/>
          <w:lang w:val="it-IT"/>
        </w:rPr>
        <w:t>accoglibili</w:t>
      </w:r>
      <w:proofErr w:type="spellEnd"/>
      <w:r w:rsidRPr="0034332B">
        <w:rPr>
          <w:rFonts w:asciiTheme="minorHAnsi" w:hAnsiTheme="minorHAnsi"/>
          <w:lang w:val="it-IT"/>
        </w:rPr>
        <w:t xml:space="preserve"> a giudizio dell’Ente ovvero non vi sia stata risposta o la stessa non sia giunta nel termine indicato, si applicheranno le penali sopra indicate.</w:t>
      </w:r>
    </w:p>
    <w:p w14:paraId="061C71C8" w14:textId="77777777" w:rsidR="0034332B" w:rsidRPr="0034332B" w:rsidRDefault="0034332B" w:rsidP="00D775F0">
      <w:pPr>
        <w:widowControl/>
        <w:autoSpaceDE/>
        <w:autoSpaceDN/>
        <w:spacing w:line="276" w:lineRule="auto"/>
        <w:jc w:val="both"/>
        <w:rPr>
          <w:rFonts w:asciiTheme="minorHAnsi" w:hAnsiTheme="minorHAnsi"/>
          <w:lang w:val="it-IT"/>
        </w:rPr>
      </w:pPr>
      <w:r w:rsidRPr="0034332B">
        <w:rPr>
          <w:rFonts w:asciiTheme="minorHAnsi" w:hAnsiTheme="minorHAnsi"/>
          <w:lang w:val="it-IT"/>
        </w:rPr>
        <w:t>Le penali verranno regolate dall’Ente, o sui corrispettivi dovuti all’Aggiudicatario per i servizi già eseguiti oppure sulla garanzia definitiva. In quest’ultimo caso la garanzia definitiva dovrà essere reintegrata entro i termini fissati dall’Ente.</w:t>
      </w:r>
    </w:p>
    <w:p w14:paraId="0C45AF9F" w14:textId="77777777" w:rsidR="0034332B" w:rsidRPr="0034332B" w:rsidRDefault="0034332B" w:rsidP="00D775F0">
      <w:pPr>
        <w:spacing w:line="276" w:lineRule="auto"/>
        <w:rPr>
          <w:rFonts w:asciiTheme="minorHAnsi" w:hAnsiTheme="minorHAnsi"/>
          <w:lang w:val="it-IT"/>
        </w:rPr>
      </w:pPr>
    </w:p>
    <w:p w14:paraId="686F0F72" w14:textId="2848DCBB" w:rsidR="0034332B" w:rsidRPr="0034332B" w:rsidRDefault="00167B3C" w:rsidP="0034332B">
      <w:pPr>
        <w:rPr>
          <w:rFonts w:asciiTheme="minorHAnsi" w:hAnsiTheme="minorHAnsi"/>
          <w:b/>
          <w:lang w:val="it-IT"/>
        </w:rPr>
      </w:pPr>
      <w:r w:rsidRPr="0034332B">
        <w:rPr>
          <w:rFonts w:asciiTheme="minorHAnsi" w:hAnsiTheme="minorHAnsi"/>
          <w:b/>
          <w:lang w:val="it-IT"/>
        </w:rPr>
        <w:t>CAUZIONE DEFINITIVA</w:t>
      </w:r>
    </w:p>
    <w:p w14:paraId="07B07A75" w14:textId="77777777" w:rsidR="0034332B" w:rsidRPr="00D775F0" w:rsidRDefault="0034332B" w:rsidP="00D775F0">
      <w:pPr>
        <w:spacing w:line="276" w:lineRule="auto"/>
        <w:jc w:val="both"/>
        <w:rPr>
          <w:rFonts w:asciiTheme="minorHAnsi" w:hAnsiTheme="minorHAnsi"/>
          <w:lang w:val="it-IT"/>
        </w:rPr>
      </w:pPr>
      <w:r w:rsidRPr="00D775F0">
        <w:rPr>
          <w:rFonts w:asciiTheme="minorHAnsi" w:hAnsiTheme="minorHAnsi"/>
          <w:lang w:val="it-IT"/>
        </w:rPr>
        <w:t>L’offerta dovrà essere corredata</w:t>
      </w:r>
      <w:r w:rsidRPr="00D775F0">
        <w:rPr>
          <w:rFonts w:ascii="Segoe UI Symbol" w:hAnsi="Segoe UI Symbol" w:cs="Segoe UI Symbol"/>
          <w:lang w:val="it-IT"/>
        </w:rPr>
        <w:t xml:space="preserve"> </w:t>
      </w:r>
      <w:r w:rsidRPr="00D775F0">
        <w:rPr>
          <w:rFonts w:asciiTheme="minorHAnsi" w:hAnsiTheme="minorHAnsi"/>
          <w:lang w:val="it-IT"/>
        </w:rPr>
        <w:t>da dichiarazione contenente l</w:t>
      </w:r>
      <w:r w:rsidRPr="00D775F0">
        <w:rPr>
          <w:rFonts w:ascii="Calibri" w:hAnsi="Calibri" w:cs="Calibri"/>
          <w:lang w:val="it-IT"/>
        </w:rPr>
        <w:t>’</w:t>
      </w:r>
      <w:r w:rsidRPr="00D775F0">
        <w:rPr>
          <w:rFonts w:asciiTheme="minorHAnsi" w:hAnsiTheme="minorHAnsi"/>
          <w:lang w:val="it-IT"/>
        </w:rPr>
        <w:t>impegno a rilasciare, in caso di aggiudicazione dell</w:t>
      </w:r>
      <w:r w:rsidRPr="00D775F0">
        <w:rPr>
          <w:rFonts w:ascii="Calibri" w:hAnsi="Calibri" w:cs="Calibri"/>
          <w:lang w:val="it-IT"/>
        </w:rPr>
        <w:t>’</w:t>
      </w:r>
      <w:r w:rsidRPr="00D775F0">
        <w:rPr>
          <w:rFonts w:asciiTheme="minorHAnsi" w:hAnsiTheme="minorHAnsi"/>
          <w:lang w:val="it-IT"/>
        </w:rPr>
        <w:t>appalto, la garanzia fideiussoria, relativa alla cauzione definitiva di cui all’art. 103 del Codice, in favore della stazione appaltante, valida fino alla data di emissione del certificato di verifica della conformità che attesti la regolare esecuzione ai sensi dell’art. 103, co. 1 del Codice o comunque decorsi 12 (dodici) mesi dalla data di ultimazione delle prestazioni risultante dal relativo certificato;</w:t>
      </w:r>
    </w:p>
    <w:p w14:paraId="18569F84" w14:textId="77777777" w:rsidR="0034332B" w:rsidRPr="00D775F0" w:rsidRDefault="0034332B" w:rsidP="00D775F0">
      <w:pPr>
        <w:spacing w:line="276" w:lineRule="auto"/>
        <w:jc w:val="both"/>
        <w:rPr>
          <w:rFonts w:asciiTheme="minorHAnsi" w:hAnsiTheme="minorHAnsi"/>
          <w:lang w:val="it-IT"/>
        </w:rPr>
      </w:pPr>
      <w:r w:rsidRPr="00D775F0">
        <w:rPr>
          <w:rFonts w:asciiTheme="minorHAnsi" w:hAnsiTheme="minorHAnsi"/>
          <w:lang w:val="it-IT"/>
        </w:rPr>
        <w:t xml:space="preserve">La garanzia fideiussoria e la dichiarazione di impegno (nel seguito descritto), pari al 10% </w:t>
      </w:r>
      <w:r w:rsidRPr="00D775F0">
        <w:rPr>
          <w:rStyle w:val="fontstyle01"/>
          <w:lang w:val="it-IT"/>
        </w:rPr>
        <w:t>della fornitura ai sensi dell’art. 103 del Codice</w:t>
      </w:r>
      <w:r w:rsidRPr="00D775F0">
        <w:rPr>
          <w:lang w:val="it-IT"/>
        </w:rPr>
        <w:t>,</w:t>
      </w:r>
      <w:r w:rsidRPr="00D775F0">
        <w:rPr>
          <w:rFonts w:asciiTheme="minorHAnsi" w:hAnsiTheme="minorHAnsi"/>
          <w:lang w:val="it-IT"/>
        </w:rPr>
        <w:t xml:space="preserve"> devono essere sottoscritte da un soggetto in possesso dei poteri necessari per impegnare il garante ed essere prodotte in una delle seguenti forme:</w:t>
      </w:r>
    </w:p>
    <w:p w14:paraId="4E324998" w14:textId="77777777" w:rsidR="0034332B" w:rsidRPr="00D775F0" w:rsidRDefault="0034332B" w:rsidP="00D775F0">
      <w:pPr>
        <w:spacing w:line="276" w:lineRule="auto"/>
        <w:jc w:val="both"/>
        <w:rPr>
          <w:rFonts w:asciiTheme="minorHAnsi" w:hAnsiTheme="minorHAnsi"/>
          <w:lang w:val="it-IT"/>
        </w:rPr>
      </w:pPr>
      <w:r w:rsidRPr="00D775F0">
        <w:rPr>
          <w:rFonts w:asciiTheme="minorHAnsi" w:hAnsiTheme="minorHAnsi"/>
          <w:lang w:val="it-IT"/>
        </w:rPr>
        <w:t>•</w:t>
      </w:r>
      <w:r w:rsidRPr="00D775F0">
        <w:rPr>
          <w:rFonts w:asciiTheme="minorHAnsi" w:hAnsiTheme="minorHAnsi"/>
          <w:lang w:val="it-IT"/>
        </w:rPr>
        <w:tab/>
        <w:t xml:space="preserve">Documento informatico, ai sensi dell’art. 1, </w:t>
      </w:r>
      <w:proofErr w:type="spellStart"/>
      <w:r w:rsidRPr="00D775F0">
        <w:rPr>
          <w:rFonts w:asciiTheme="minorHAnsi" w:hAnsiTheme="minorHAnsi"/>
          <w:lang w:val="it-IT"/>
        </w:rPr>
        <w:t>lett</w:t>
      </w:r>
      <w:proofErr w:type="spellEnd"/>
      <w:r w:rsidRPr="00D775F0">
        <w:rPr>
          <w:rFonts w:asciiTheme="minorHAnsi" w:hAnsiTheme="minorHAnsi"/>
          <w:lang w:val="it-IT"/>
        </w:rPr>
        <w:t>. p) del d.lgs. 7 marzo 2005 n. 82 sottoscritto con firma digitale dal soggetto in possesso dei poteri necessari per impegnare il garante;</w:t>
      </w:r>
    </w:p>
    <w:p w14:paraId="7A3E205C" w14:textId="77777777" w:rsidR="0034332B" w:rsidRPr="00D775F0" w:rsidRDefault="0034332B" w:rsidP="00D775F0">
      <w:pPr>
        <w:spacing w:line="276" w:lineRule="auto"/>
        <w:jc w:val="both"/>
        <w:rPr>
          <w:rFonts w:asciiTheme="minorHAnsi" w:hAnsiTheme="minorHAnsi"/>
          <w:lang w:val="it-IT"/>
        </w:rPr>
      </w:pPr>
      <w:r w:rsidRPr="00D775F0">
        <w:rPr>
          <w:rFonts w:asciiTheme="minorHAnsi" w:hAnsiTheme="minorHAnsi"/>
          <w:lang w:val="it-IT"/>
        </w:rPr>
        <w:t>•</w:t>
      </w:r>
      <w:r w:rsidRPr="00D775F0">
        <w:rPr>
          <w:rFonts w:asciiTheme="minorHAnsi" w:hAnsiTheme="minorHAnsi"/>
          <w:lang w:val="it-IT"/>
        </w:rPr>
        <w:tab/>
        <w:t xml:space="preserve">Copia informatica di documento analogico (scansione di documento cartaceo) secondo le modalità previste dall’art. 22, commi 1 e 2, del d.lgs. 82/2005. In tali ultimi casi la conformità del documento all’originale </w:t>
      </w:r>
      <w:r w:rsidRPr="00D775F0">
        <w:rPr>
          <w:rFonts w:asciiTheme="minorHAnsi" w:hAnsiTheme="minorHAnsi"/>
          <w:lang w:val="it-IT"/>
        </w:rPr>
        <w:lastRenderedPageBreak/>
        <w:t>dovrà esser attestata dalla dichiarazione di copia conforme all’originale ai sensi del DPR 445/2000.</w:t>
      </w:r>
    </w:p>
    <w:p w14:paraId="3C6C68F3" w14:textId="77777777" w:rsidR="0034332B" w:rsidRPr="00D775F0" w:rsidRDefault="0034332B" w:rsidP="00D775F0">
      <w:pPr>
        <w:spacing w:line="276" w:lineRule="auto"/>
        <w:jc w:val="both"/>
        <w:rPr>
          <w:rFonts w:asciiTheme="minorHAnsi" w:hAnsiTheme="minorHAnsi"/>
          <w:lang w:val="it-IT"/>
        </w:rPr>
      </w:pPr>
      <w:r w:rsidRPr="00D775F0">
        <w:rPr>
          <w:rFonts w:asciiTheme="minorHAnsi" w:hAnsiTheme="minorHAnsi"/>
          <w:lang w:val="it-IT"/>
        </w:rPr>
        <w:t xml:space="preserve">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 (Eventuale) Impegno di un </w:t>
      </w:r>
      <w:proofErr w:type="spellStart"/>
      <w:r w:rsidRPr="00D775F0">
        <w:rPr>
          <w:rFonts w:asciiTheme="minorHAnsi" w:hAnsiTheme="minorHAnsi"/>
          <w:lang w:val="it-IT"/>
        </w:rPr>
        <w:t>fidejussore</w:t>
      </w:r>
      <w:proofErr w:type="spellEnd"/>
      <w:r w:rsidRPr="00D775F0">
        <w:rPr>
          <w:rFonts w:asciiTheme="minorHAnsi" w:hAnsiTheme="minorHAnsi"/>
          <w:lang w:val="it-IT"/>
        </w:rPr>
        <w:t>.</w:t>
      </w:r>
    </w:p>
    <w:p w14:paraId="2603121D" w14:textId="77777777" w:rsidR="0034332B" w:rsidRPr="0034332B" w:rsidRDefault="0034332B" w:rsidP="00D775F0">
      <w:pPr>
        <w:spacing w:line="276" w:lineRule="auto"/>
        <w:jc w:val="both"/>
        <w:rPr>
          <w:rFonts w:asciiTheme="minorHAnsi" w:hAnsiTheme="minorHAnsi"/>
          <w:lang w:val="it-IT"/>
        </w:rPr>
      </w:pPr>
      <w:r w:rsidRPr="00D775F0">
        <w:rPr>
          <w:rFonts w:asciiTheme="minorHAnsi" w:hAnsiTheme="minorHAnsi"/>
          <w:lang w:val="it-IT"/>
        </w:rPr>
        <w:t>Ai sensi dell’art. 93 comma 8 del Codice, l’offerta è altresì corredata, a pena di esclusione, dalla dichiarazione di un istituto bancario o assicurativo o altro soggetto di cui all’art. 93, comma 3 del Codice, anche diverso da quello che ha rilasciato la garanzia provvisoria, contenente l’impegno verso il concorrente a rilasciare, qualora l’offerente risultasse affidatario, garanzia fideiussoria per l’esecuzione del contratto di cui agli artt. 103 e 104 del Codice in favore della stazione appaltante, valida fino alla data di emissione del certificato di regolare esecuzione di cui all’art. 103, comma 1 del Codice o comunque decorsi 12 (dodici) mesi dalla data di ultimazione dei servizi/fornitura risultante dal relativo certificato. Tale impegno non è richiesto alle micro, piccole e medie imprese (MPMI) e ai raggruppamenti temporanei o consorzi ordinari esclusivamente dalle medesime costituiti.</w:t>
      </w:r>
    </w:p>
    <w:p w14:paraId="048E4DAF" w14:textId="77777777" w:rsidR="0034332B" w:rsidRPr="0034332B" w:rsidRDefault="0034332B" w:rsidP="0034332B">
      <w:pPr>
        <w:rPr>
          <w:rFonts w:asciiTheme="minorHAnsi" w:hAnsiTheme="minorHAnsi"/>
          <w:lang w:val="it-IT"/>
        </w:rPr>
      </w:pPr>
    </w:p>
    <w:p w14:paraId="6246F868" w14:textId="67EB68E1" w:rsidR="0034332B" w:rsidRPr="0034332B" w:rsidRDefault="0034332B" w:rsidP="0034332B">
      <w:pPr>
        <w:rPr>
          <w:rFonts w:asciiTheme="minorHAnsi" w:hAnsiTheme="minorHAnsi"/>
          <w:lang w:val="it-IT"/>
        </w:rPr>
      </w:pPr>
      <w:r w:rsidRPr="0034332B">
        <w:rPr>
          <w:rFonts w:asciiTheme="minorHAnsi" w:hAnsiTheme="minorHAnsi" w:hint="eastAsia"/>
          <w:lang w:val="it-IT"/>
        </w:rPr>
        <w:t>Le presenti condizioni riferite all</w:t>
      </w:r>
      <w:r w:rsidR="00523693">
        <w:rPr>
          <w:rFonts w:asciiTheme="minorHAnsi" w:hAnsiTheme="minorHAnsi"/>
          <w:lang w:val="it-IT"/>
        </w:rPr>
        <w:t>’</w:t>
      </w:r>
      <w:r w:rsidRPr="0034332B">
        <w:rPr>
          <w:rFonts w:asciiTheme="minorHAnsi" w:hAnsiTheme="minorHAnsi" w:hint="eastAsia"/>
          <w:lang w:val="it-IT"/>
        </w:rPr>
        <w:t xml:space="preserve">Ordine </w:t>
      </w:r>
      <w:proofErr w:type="spellStart"/>
      <w:r w:rsidRPr="0034332B">
        <w:rPr>
          <w:rFonts w:asciiTheme="minorHAnsi" w:hAnsiTheme="minorHAnsi" w:hint="eastAsia"/>
          <w:lang w:val="it-IT"/>
        </w:rPr>
        <w:t>MePA</w:t>
      </w:r>
      <w:proofErr w:type="spellEnd"/>
      <w:r w:rsidRPr="0034332B">
        <w:rPr>
          <w:rFonts w:asciiTheme="minorHAnsi" w:hAnsiTheme="minorHAnsi" w:hint="eastAsia"/>
          <w:lang w:val="it-IT"/>
        </w:rPr>
        <w:t xml:space="preserve"> sopra indicato si intendono interamente accettate anche senza formale conferma, silenzio assenso, ai sensi dell'art. 1326 e ss. nel momento in cui viene accettato l</w:t>
      </w:r>
      <w:r w:rsidRPr="0034332B">
        <w:rPr>
          <w:rFonts w:asciiTheme="minorHAnsi" w:hAnsiTheme="minorHAnsi" w:hint="eastAsia"/>
          <w:lang w:val="it-IT"/>
        </w:rPr>
        <w:t>’</w:t>
      </w:r>
      <w:r w:rsidRPr="0034332B">
        <w:rPr>
          <w:rFonts w:asciiTheme="minorHAnsi" w:hAnsiTheme="minorHAnsi" w:hint="eastAsia"/>
          <w:lang w:val="it-IT"/>
        </w:rPr>
        <w:t>ordine e/o eseguita la prestazione.</w:t>
      </w:r>
    </w:p>
    <w:p w14:paraId="57B492B5" w14:textId="77777777" w:rsidR="0034332B" w:rsidRPr="0034332B" w:rsidRDefault="0034332B" w:rsidP="0034332B">
      <w:pPr>
        <w:rPr>
          <w:rFonts w:asciiTheme="minorHAnsi" w:hAnsiTheme="minorHAnsi"/>
          <w:b/>
          <w:bCs/>
          <w:lang w:val="it-IT"/>
        </w:rPr>
      </w:pPr>
    </w:p>
    <w:p w14:paraId="456D1D4B" w14:textId="77777777" w:rsidR="0034332B" w:rsidRPr="0034332B" w:rsidRDefault="0034332B" w:rsidP="0034332B">
      <w:pPr>
        <w:rPr>
          <w:rFonts w:asciiTheme="minorHAnsi" w:hAnsiTheme="minorHAnsi"/>
          <w:lang w:val="it-IT"/>
        </w:rPr>
      </w:pPr>
      <w:r w:rsidRPr="0034332B">
        <w:rPr>
          <w:rFonts w:asciiTheme="minorHAnsi" w:hAnsiTheme="minorHAnsi" w:hint="eastAsia"/>
          <w:lang w:val="it-IT"/>
        </w:rPr>
        <w:t>PER ACCETTAZIONE:</w:t>
      </w:r>
    </w:p>
    <w:p w14:paraId="0609A389" w14:textId="77777777" w:rsidR="0034332B" w:rsidRPr="0034332B" w:rsidRDefault="0034332B" w:rsidP="0034332B">
      <w:pPr>
        <w:rPr>
          <w:rFonts w:asciiTheme="minorHAnsi" w:hAnsiTheme="minorHAnsi"/>
          <w:lang w:val="it-IT"/>
        </w:rPr>
      </w:pPr>
      <w:r w:rsidRPr="0034332B">
        <w:rPr>
          <w:rFonts w:asciiTheme="minorHAnsi" w:hAnsiTheme="minorHAnsi" w:hint="eastAsia"/>
          <w:lang w:val="it-IT"/>
        </w:rPr>
        <w:t xml:space="preserve">Data </w:t>
      </w:r>
      <w:r w:rsidRPr="0034332B">
        <w:rPr>
          <w:rFonts w:asciiTheme="minorHAnsi" w:hAnsiTheme="minorHAnsi" w:hint="eastAsia"/>
          <w:lang w:val="it-IT"/>
        </w:rPr>
        <w:tab/>
      </w:r>
      <w:r w:rsidRPr="0034332B">
        <w:rPr>
          <w:rFonts w:asciiTheme="minorHAnsi" w:hAnsiTheme="minorHAnsi" w:hint="eastAsia"/>
          <w:lang w:val="it-IT"/>
        </w:rPr>
        <w:tab/>
      </w:r>
      <w:r w:rsidRPr="0034332B">
        <w:rPr>
          <w:rFonts w:asciiTheme="minorHAnsi" w:hAnsiTheme="minorHAnsi" w:hint="eastAsia"/>
          <w:lang w:val="it-IT"/>
        </w:rPr>
        <w:tab/>
      </w:r>
      <w:r w:rsidRPr="0034332B">
        <w:rPr>
          <w:rFonts w:asciiTheme="minorHAnsi" w:hAnsiTheme="minorHAnsi" w:hint="eastAsia"/>
          <w:lang w:val="it-IT"/>
        </w:rPr>
        <w:tab/>
      </w:r>
      <w:r w:rsidRPr="0034332B">
        <w:rPr>
          <w:rFonts w:asciiTheme="minorHAnsi" w:hAnsiTheme="minorHAnsi" w:hint="eastAsia"/>
          <w:lang w:val="it-IT"/>
        </w:rPr>
        <w:tab/>
      </w:r>
      <w:r w:rsidRPr="0034332B">
        <w:rPr>
          <w:rFonts w:asciiTheme="minorHAnsi" w:hAnsiTheme="minorHAnsi" w:hint="eastAsia"/>
          <w:lang w:val="it-IT"/>
        </w:rPr>
        <w:tab/>
      </w:r>
      <w:r w:rsidRPr="0034332B">
        <w:rPr>
          <w:rFonts w:asciiTheme="minorHAnsi" w:hAnsiTheme="minorHAnsi" w:hint="eastAsia"/>
          <w:lang w:val="it-IT"/>
        </w:rPr>
        <w:tab/>
      </w:r>
      <w:r w:rsidRPr="0034332B">
        <w:rPr>
          <w:rFonts w:asciiTheme="minorHAnsi" w:hAnsiTheme="minorHAnsi" w:hint="eastAsia"/>
          <w:lang w:val="it-IT"/>
        </w:rPr>
        <w:tab/>
        <w:t>Timbro e firma dell'operatore economico</w:t>
      </w:r>
    </w:p>
    <w:p w14:paraId="3AD377B7" w14:textId="77777777" w:rsidR="0034332B" w:rsidRPr="0034332B" w:rsidRDefault="0034332B" w:rsidP="0034332B">
      <w:pPr>
        <w:rPr>
          <w:rFonts w:asciiTheme="minorHAnsi" w:hAnsiTheme="minorHAnsi"/>
          <w:lang w:val="it-IT"/>
        </w:rPr>
      </w:pPr>
    </w:p>
    <w:p w14:paraId="4EE68F4A" w14:textId="7A9F75B1" w:rsidR="00E169D7" w:rsidRPr="00C64240" w:rsidRDefault="0034332B" w:rsidP="0034332B">
      <w:pPr>
        <w:rPr>
          <w:sz w:val="18"/>
          <w:lang w:val="it-IT"/>
        </w:rPr>
      </w:pPr>
      <w:r w:rsidRPr="0034332B">
        <w:rPr>
          <w:rFonts w:asciiTheme="minorHAnsi" w:hAnsiTheme="minorHAnsi" w:hint="eastAsia"/>
          <w:lang w:val="it-IT"/>
        </w:rPr>
        <w:t xml:space="preserve"> </w:t>
      </w:r>
      <w:r w:rsidRPr="001B1F88">
        <w:rPr>
          <w:rFonts w:asciiTheme="minorHAnsi" w:hAnsiTheme="minorHAnsi" w:hint="eastAsia"/>
        </w:rPr>
        <w:t>______________________</w:t>
      </w:r>
      <w:r w:rsidRPr="001B1F88">
        <w:rPr>
          <w:rFonts w:asciiTheme="minorHAnsi" w:hAnsiTheme="minorHAnsi" w:hint="eastAsia"/>
        </w:rPr>
        <w:tab/>
      </w:r>
      <w:r w:rsidRPr="001B1F88">
        <w:rPr>
          <w:rFonts w:asciiTheme="minorHAnsi" w:hAnsiTheme="minorHAnsi" w:hint="eastAsia"/>
        </w:rPr>
        <w:tab/>
      </w:r>
      <w:r w:rsidRPr="001B1F88">
        <w:rPr>
          <w:rFonts w:asciiTheme="minorHAnsi" w:hAnsiTheme="minorHAnsi" w:hint="eastAsia"/>
        </w:rPr>
        <w:tab/>
      </w:r>
      <w:r w:rsidRPr="001B1F88">
        <w:rPr>
          <w:rFonts w:asciiTheme="minorHAnsi" w:hAnsiTheme="minorHAnsi" w:hint="eastAsia"/>
        </w:rPr>
        <w:tab/>
      </w:r>
      <w:r w:rsidRPr="001B1F88">
        <w:rPr>
          <w:rFonts w:asciiTheme="minorHAnsi" w:hAnsiTheme="minorHAnsi" w:hint="eastAsia"/>
        </w:rPr>
        <w:tab/>
        <w:t xml:space="preserve">__________________________________ </w:t>
      </w:r>
    </w:p>
    <w:sectPr w:rsidR="00E169D7" w:rsidRPr="00C64240" w:rsidSect="00D52CCF">
      <w:headerReference w:type="even" r:id="rId9"/>
      <w:headerReference w:type="default" r:id="rId10"/>
      <w:footerReference w:type="even" r:id="rId11"/>
      <w:footerReference w:type="default" r:id="rId12"/>
      <w:headerReference w:type="first" r:id="rId13"/>
      <w:footerReference w:type="first" r:id="rId14"/>
      <w:pgSz w:w="11930" w:h="16850"/>
      <w:pgMar w:top="1661" w:right="902" w:bottom="1418" w:left="919" w:header="221" w:footer="8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5FDE9" w14:textId="77777777" w:rsidR="0036455F" w:rsidRDefault="0036455F">
      <w:r>
        <w:separator/>
      </w:r>
    </w:p>
  </w:endnote>
  <w:endnote w:type="continuationSeparator" w:id="0">
    <w:p w14:paraId="5F2ED8F4" w14:textId="77777777" w:rsidR="0036455F" w:rsidRDefault="0036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45B61" w14:textId="77777777" w:rsidR="008D5223" w:rsidRDefault="008D522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453233"/>
      <w:docPartObj>
        <w:docPartGallery w:val="Page Numbers (Bottom of Page)"/>
        <w:docPartUnique/>
      </w:docPartObj>
    </w:sdtPr>
    <w:sdtEndPr/>
    <w:sdtContent>
      <w:p w14:paraId="2DA5D3CC" w14:textId="211CDA1F" w:rsidR="008D5223" w:rsidRDefault="008D5223">
        <w:pPr>
          <w:pStyle w:val="Pidipagina"/>
          <w:jc w:val="right"/>
        </w:pPr>
        <w:r>
          <w:fldChar w:fldCharType="begin"/>
        </w:r>
        <w:r>
          <w:instrText>PAGE   \* MERGEFORMAT</w:instrText>
        </w:r>
        <w:r>
          <w:fldChar w:fldCharType="separate"/>
        </w:r>
        <w:r w:rsidR="00D31C4F" w:rsidRPr="00D31C4F">
          <w:rPr>
            <w:noProof/>
            <w:lang w:val="it-IT"/>
          </w:rPr>
          <w:t>1</w:t>
        </w:r>
        <w:r>
          <w:fldChar w:fldCharType="end"/>
        </w:r>
      </w:p>
    </w:sdtContent>
  </w:sdt>
  <w:p w14:paraId="6337E5CF" w14:textId="6970F64D" w:rsidR="00E169D7" w:rsidRDefault="00E169D7">
    <w:pPr>
      <w:pStyle w:val="Corpotesto"/>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B95F5" w14:textId="77777777" w:rsidR="008D5223" w:rsidRDefault="008D522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4D9C2" w14:textId="77777777" w:rsidR="0036455F" w:rsidRDefault="0036455F">
      <w:r>
        <w:separator/>
      </w:r>
    </w:p>
  </w:footnote>
  <w:footnote w:type="continuationSeparator" w:id="0">
    <w:p w14:paraId="32501729" w14:textId="77777777" w:rsidR="0036455F" w:rsidRDefault="00364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6DE97" w14:textId="77777777" w:rsidR="008D5223" w:rsidRDefault="008D522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F670E" w14:textId="77777777" w:rsidR="00E169D7" w:rsidRDefault="00681857">
    <w:pPr>
      <w:pStyle w:val="Corpotesto"/>
      <w:spacing w:line="14" w:lineRule="auto"/>
      <w:rPr>
        <w:sz w:val="20"/>
      </w:rPr>
    </w:pPr>
    <w:r>
      <w:rPr>
        <w:noProof/>
        <w:lang w:val="it-IT" w:eastAsia="it-IT"/>
      </w:rPr>
      <w:drawing>
        <wp:anchor distT="0" distB="0" distL="0" distR="0" simplePos="0" relativeHeight="251656704" behindDoc="1" locked="0" layoutInCell="1" allowOverlap="1" wp14:anchorId="716EB679" wp14:editId="3F5B463B">
          <wp:simplePos x="0" y="0"/>
          <wp:positionH relativeFrom="page">
            <wp:posOffset>708365</wp:posOffset>
          </wp:positionH>
          <wp:positionV relativeFrom="page">
            <wp:posOffset>140347</wp:posOffset>
          </wp:positionV>
          <wp:extent cx="6111010" cy="5376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111010" cy="537628"/>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90F5F" w14:textId="77777777" w:rsidR="008D5223" w:rsidRDefault="008D522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E1EBE"/>
    <w:multiLevelType w:val="hybridMultilevel"/>
    <w:tmpl w:val="3C8E87B2"/>
    <w:lvl w:ilvl="0" w:tplc="52E6B9DA">
      <w:numFmt w:val="bullet"/>
      <w:lvlText w:val="–"/>
      <w:lvlJc w:val="left"/>
      <w:pPr>
        <w:ind w:left="100" w:hanging="168"/>
      </w:pPr>
      <w:rPr>
        <w:rFonts w:ascii="Verdana" w:eastAsia="Verdana" w:hAnsi="Verdana" w:cs="Verdana" w:hint="default"/>
        <w:b w:val="0"/>
        <w:bCs w:val="0"/>
        <w:i w:val="0"/>
        <w:iCs w:val="0"/>
        <w:w w:val="78"/>
        <w:sz w:val="22"/>
        <w:szCs w:val="22"/>
        <w:lang w:val="en-US" w:eastAsia="en-US" w:bidi="ar-SA"/>
      </w:rPr>
    </w:lvl>
    <w:lvl w:ilvl="1" w:tplc="888CF3D0">
      <w:numFmt w:val="bullet"/>
      <w:lvlText w:val=""/>
      <w:lvlJc w:val="left"/>
      <w:pPr>
        <w:ind w:left="820" w:hanging="360"/>
      </w:pPr>
      <w:rPr>
        <w:rFonts w:ascii="Wingdings" w:eastAsia="Wingdings" w:hAnsi="Wingdings" w:cs="Wingdings" w:hint="default"/>
        <w:b w:val="0"/>
        <w:bCs w:val="0"/>
        <w:i w:val="0"/>
        <w:iCs w:val="0"/>
        <w:w w:val="100"/>
        <w:sz w:val="22"/>
        <w:szCs w:val="22"/>
        <w:lang w:val="en-US" w:eastAsia="en-US" w:bidi="ar-SA"/>
      </w:rPr>
    </w:lvl>
    <w:lvl w:ilvl="2" w:tplc="2E0A7FE8">
      <w:numFmt w:val="bullet"/>
      <w:lvlText w:val="•"/>
      <w:lvlJc w:val="left"/>
      <w:pPr>
        <w:ind w:left="1851" w:hanging="360"/>
      </w:pPr>
      <w:rPr>
        <w:rFonts w:hint="default"/>
        <w:lang w:val="en-US" w:eastAsia="en-US" w:bidi="ar-SA"/>
      </w:rPr>
    </w:lvl>
    <w:lvl w:ilvl="3" w:tplc="5DFAA700">
      <w:numFmt w:val="bullet"/>
      <w:lvlText w:val="•"/>
      <w:lvlJc w:val="left"/>
      <w:pPr>
        <w:ind w:left="2882" w:hanging="360"/>
      </w:pPr>
      <w:rPr>
        <w:rFonts w:hint="default"/>
        <w:lang w:val="en-US" w:eastAsia="en-US" w:bidi="ar-SA"/>
      </w:rPr>
    </w:lvl>
    <w:lvl w:ilvl="4" w:tplc="5C3017EC">
      <w:numFmt w:val="bullet"/>
      <w:lvlText w:val="•"/>
      <w:lvlJc w:val="left"/>
      <w:pPr>
        <w:ind w:left="3913" w:hanging="360"/>
      </w:pPr>
      <w:rPr>
        <w:rFonts w:hint="default"/>
        <w:lang w:val="en-US" w:eastAsia="en-US" w:bidi="ar-SA"/>
      </w:rPr>
    </w:lvl>
    <w:lvl w:ilvl="5" w:tplc="0D0278FA">
      <w:numFmt w:val="bullet"/>
      <w:lvlText w:val="•"/>
      <w:lvlJc w:val="left"/>
      <w:pPr>
        <w:ind w:left="4944" w:hanging="360"/>
      </w:pPr>
      <w:rPr>
        <w:rFonts w:hint="default"/>
        <w:lang w:val="en-US" w:eastAsia="en-US" w:bidi="ar-SA"/>
      </w:rPr>
    </w:lvl>
    <w:lvl w:ilvl="6" w:tplc="7086226A">
      <w:numFmt w:val="bullet"/>
      <w:lvlText w:val="•"/>
      <w:lvlJc w:val="left"/>
      <w:pPr>
        <w:ind w:left="5976" w:hanging="360"/>
      </w:pPr>
      <w:rPr>
        <w:rFonts w:hint="default"/>
        <w:lang w:val="en-US" w:eastAsia="en-US" w:bidi="ar-SA"/>
      </w:rPr>
    </w:lvl>
    <w:lvl w:ilvl="7" w:tplc="B13CDF3C">
      <w:numFmt w:val="bullet"/>
      <w:lvlText w:val="•"/>
      <w:lvlJc w:val="left"/>
      <w:pPr>
        <w:ind w:left="7007" w:hanging="360"/>
      </w:pPr>
      <w:rPr>
        <w:rFonts w:hint="default"/>
        <w:lang w:val="en-US" w:eastAsia="en-US" w:bidi="ar-SA"/>
      </w:rPr>
    </w:lvl>
    <w:lvl w:ilvl="8" w:tplc="ACD28F64">
      <w:numFmt w:val="bullet"/>
      <w:lvlText w:val="•"/>
      <w:lvlJc w:val="left"/>
      <w:pPr>
        <w:ind w:left="8038" w:hanging="360"/>
      </w:pPr>
      <w:rPr>
        <w:rFonts w:hint="default"/>
        <w:lang w:val="en-US" w:eastAsia="en-US" w:bidi="ar-SA"/>
      </w:rPr>
    </w:lvl>
  </w:abstractNum>
  <w:abstractNum w:abstractNumId="1">
    <w:nsid w:val="26525716"/>
    <w:multiLevelType w:val="hybridMultilevel"/>
    <w:tmpl w:val="6F5EE02E"/>
    <w:lvl w:ilvl="0" w:tplc="04100005">
      <w:start w:val="1"/>
      <w:numFmt w:val="bullet"/>
      <w:lvlText w:val=""/>
      <w:lvlJc w:val="left"/>
      <w:pPr>
        <w:ind w:left="100" w:hanging="144"/>
      </w:pPr>
      <w:rPr>
        <w:rFonts w:ascii="Wingdings" w:hAnsi="Wingdings" w:hint="default"/>
        <w:b w:val="0"/>
        <w:bCs w:val="0"/>
        <w:i w:val="0"/>
        <w:iCs w:val="0"/>
        <w:w w:val="73"/>
        <w:sz w:val="22"/>
        <w:szCs w:val="22"/>
        <w:lang w:val="en-US" w:eastAsia="en-US" w:bidi="ar-SA"/>
      </w:rPr>
    </w:lvl>
    <w:lvl w:ilvl="1" w:tplc="5596BF8E">
      <w:numFmt w:val="bullet"/>
      <w:lvlText w:val="•"/>
      <w:lvlJc w:val="left"/>
      <w:pPr>
        <w:ind w:left="1100" w:hanging="144"/>
      </w:pPr>
      <w:rPr>
        <w:rFonts w:hint="default"/>
        <w:lang w:val="en-US" w:eastAsia="en-US" w:bidi="ar-SA"/>
      </w:rPr>
    </w:lvl>
    <w:lvl w:ilvl="2" w:tplc="4092815E">
      <w:numFmt w:val="bullet"/>
      <w:lvlText w:val="•"/>
      <w:lvlJc w:val="left"/>
      <w:pPr>
        <w:ind w:left="2100" w:hanging="144"/>
      </w:pPr>
      <w:rPr>
        <w:rFonts w:hint="default"/>
        <w:lang w:val="en-US" w:eastAsia="en-US" w:bidi="ar-SA"/>
      </w:rPr>
    </w:lvl>
    <w:lvl w:ilvl="3" w:tplc="648010D8">
      <w:numFmt w:val="bullet"/>
      <w:lvlText w:val="•"/>
      <w:lvlJc w:val="left"/>
      <w:pPr>
        <w:ind w:left="3100" w:hanging="144"/>
      </w:pPr>
      <w:rPr>
        <w:rFonts w:hint="default"/>
        <w:lang w:val="en-US" w:eastAsia="en-US" w:bidi="ar-SA"/>
      </w:rPr>
    </w:lvl>
    <w:lvl w:ilvl="4" w:tplc="98AECA12">
      <w:numFmt w:val="bullet"/>
      <w:lvlText w:val="•"/>
      <w:lvlJc w:val="left"/>
      <w:pPr>
        <w:ind w:left="4100" w:hanging="144"/>
      </w:pPr>
      <w:rPr>
        <w:rFonts w:hint="default"/>
        <w:lang w:val="en-US" w:eastAsia="en-US" w:bidi="ar-SA"/>
      </w:rPr>
    </w:lvl>
    <w:lvl w:ilvl="5" w:tplc="B13AA624">
      <w:numFmt w:val="bullet"/>
      <w:lvlText w:val="•"/>
      <w:lvlJc w:val="left"/>
      <w:pPr>
        <w:ind w:left="5100" w:hanging="144"/>
      </w:pPr>
      <w:rPr>
        <w:rFonts w:hint="default"/>
        <w:lang w:val="en-US" w:eastAsia="en-US" w:bidi="ar-SA"/>
      </w:rPr>
    </w:lvl>
    <w:lvl w:ilvl="6" w:tplc="5C98CEB8">
      <w:numFmt w:val="bullet"/>
      <w:lvlText w:val="•"/>
      <w:lvlJc w:val="left"/>
      <w:pPr>
        <w:ind w:left="6100" w:hanging="144"/>
      </w:pPr>
      <w:rPr>
        <w:rFonts w:hint="default"/>
        <w:lang w:val="en-US" w:eastAsia="en-US" w:bidi="ar-SA"/>
      </w:rPr>
    </w:lvl>
    <w:lvl w:ilvl="7" w:tplc="0E6A44A2">
      <w:numFmt w:val="bullet"/>
      <w:lvlText w:val="•"/>
      <w:lvlJc w:val="left"/>
      <w:pPr>
        <w:ind w:left="7100" w:hanging="144"/>
      </w:pPr>
      <w:rPr>
        <w:rFonts w:hint="default"/>
        <w:lang w:val="en-US" w:eastAsia="en-US" w:bidi="ar-SA"/>
      </w:rPr>
    </w:lvl>
    <w:lvl w:ilvl="8" w:tplc="603AF4B4">
      <w:numFmt w:val="bullet"/>
      <w:lvlText w:val="•"/>
      <w:lvlJc w:val="left"/>
      <w:pPr>
        <w:ind w:left="8100" w:hanging="144"/>
      </w:pPr>
      <w:rPr>
        <w:rFonts w:hint="default"/>
        <w:lang w:val="en-US" w:eastAsia="en-US" w:bidi="ar-SA"/>
      </w:rPr>
    </w:lvl>
  </w:abstractNum>
  <w:abstractNum w:abstractNumId="2">
    <w:nsid w:val="510C7FE3"/>
    <w:multiLevelType w:val="hybridMultilevel"/>
    <w:tmpl w:val="62D056D6"/>
    <w:lvl w:ilvl="0" w:tplc="04100005">
      <w:start w:val="1"/>
      <w:numFmt w:val="bullet"/>
      <w:lvlText w:val=""/>
      <w:lvlJc w:val="left"/>
      <w:pPr>
        <w:ind w:left="820" w:hanging="360"/>
      </w:pPr>
      <w:rPr>
        <w:rFonts w:ascii="Wingdings" w:hAnsi="Wingdings"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3">
    <w:nsid w:val="5839491B"/>
    <w:multiLevelType w:val="multilevel"/>
    <w:tmpl w:val="97A8ABCA"/>
    <w:lvl w:ilvl="0">
      <w:start w:val="1"/>
      <w:numFmt w:val="decimal"/>
      <w:lvlText w:val="%1)"/>
      <w:lvlJc w:val="left"/>
      <w:pPr>
        <w:ind w:left="360" w:hanging="360"/>
      </w:pPr>
      <w:rPr>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590975A0"/>
    <w:multiLevelType w:val="hybridMultilevel"/>
    <w:tmpl w:val="A49C979A"/>
    <w:lvl w:ilvl="0" w:tplc="0410000D">
      <w:start w:val="1"/>
      <w:numFmt w:val="bullet"/>
      <w:lvlText w:val=""/>
      <w:lvlJc w:val="left"/>
      <w:pPr>
        <w:ind w:left="820" w:hanging="360"/>
      </w:pPr>
      <w:rPr>
        <w:rFonts w:ascii="Wingdings" w:hAnsi="Wingdings"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5">
    <w:nsid w:val="791A3D4A"/>
    <w:multiLevelType w:val="hybridMultilevel"/>
    <w:tmpl w:val="34F85F46"/>
    <w:lvl w:ilvl="0" w:tplc="04100005">
      <w:start w:val="1"/>
      <w:numFmt w:val="bullet"/>
      <w:lvlText w:val=""/>
      <w:lvlJc w:val="left"/>
      <w:pPr>
        <w:ind w:left="820" w:hanging="360"/>
      </w:pPr>
      <w:rPr>
        <w:rFonts w:ascii="Wingdings" w:hAnsi="Wingdings"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nsid w:val="7DB56056"/>
    <w:multiLevelType w:val="multilevel"/>
    <w:tmpl w:val="1D9C5B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7FF2316E"/>
    <w:multiLevelType w:val="multilevel"/>
    <w:tmpl w:val="1AF819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D7"/>
    <w:rsid w:val="00034155"/>
    <w:rsid w:val="000C2C05"/>
    <w:rsid w:val="00136A18"/>
    <w:rsid w:val="00146315"/>
    <w:rsid w:val="0015644E"/>
    <w:rsid w:val="00166BED"/>
    <w:rsid w:val="00167B3C"/>
    <w:rsid w:val="002109DC"/>
    <w:rsid w:val="00217911"/>
    <w:rsid w:val="002859D0"/>
    <w:rsid w:val="002E6836"/>
    <w:rsid w:val="00304356"/>
    <w:rsid w:val="00313322"/>
    <w:rsid w:val="0034332B"/>
    <w:rsid w:val="0036455F"/>
    <w:rsid w:val="003C6F26"/>
    <w:rsid w:val="0043779D"/>
    <w:rsid w:val="00470110"/>
    <w:rsid w:val="004C3751"/>
    <w:rsid w:val="004F28C3"/>
    <w:rsid w:val="00523693"/>
    <w:rsid w:val="00542C86"/>
    <w:rsid w:val="00592B9D"/>
    <w:rsid w:val="005C16BA"/>
    <w:rsid w:val="006528A9"/>
    <w:rsid w:val="00674AD6"/>
    <w:rsid w:val="00681857"/>
    <w:rsid w:val="007433D1"/>
    <w:rsid w:val="007461E4"/>
    <w:rsid w:val="007E118D"/>
    <w:rsid w:val="00807862"/>
    <w:rsid w:val="008B5FDE"/>
    <w:rsid w:val="008D5223"/>
    <w:rsid w:val="008F15B9"/>
    <w:rsid w:val="00927B62"/>
    <w:rsid w:val="009342B1"/>
    <w:rsid w:val="00A14123"/>
    <w:rsid w:val="00A71150"/>
    <w:rsid w:val="00A84D04"/>
    <w:rsid w:val="00AB25D7"/>
    <w:rsid w:val="00B772F1"/>
    <w:rsid w:val="00C64240"/>
    <w:rsid w:val="00D31C4F"/>
    <w:rsid w:val="00D52CCF"/>
    <w:rsid w:val="00D775F0"/>
    <w:rsid w:val="00DA30F5"/>
    <w:rsid w:val="00DF0EBB"/>
    <w:rsid w:val="00E169D7"/>
    <w:rsid w:val="00E1735D"/>
    <w:rsid w:val="00E17B3D"/>
    <w:rsid w:val="00EF45F8"/>
    <w:rsid w:val="00F1566D"/>
    <w:rsid w:val="00F322B7"/>
    <w:rsid w:val="00F3318B"/>
    <w:rsid w:val="00FB1D45"/>
    <w:rsid w:val="00FC51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F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rPr>
  </w:style>
  <w:style w:type="paragraph" w:styleId="Titolo1">
    <w:name w:val="heading 1"/>
    <w:basedOn w:val="Normale"/>
    <w:uiPriority w:val="1"/>
    <w:qFormat/>
    <w:pPr>
      <w:ind w:left="2418" w:right="2433"/>
      <w:jc w:val="center"/>
      <w:outlineLvl w:val="0"/>
    </w:pPr>
    <w:rPr>
      <w:rFonts w:ascii="Tahoma" w:eastAsia="Tahoma" w:hAnsi="Tahoma" w:cs="Tahom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20" w:hanging="361"/>
    </w:pPr>
  </w:style>
  <w:style w:type="paragraph" w:customStyle="1" w:styleId="TableParagraph">
    <w:name w:val="Table Paragraph"/>
    <w:basedOn w:val="Normale"/>
    <w:uiPriority w:val="1"/>
    <w:qFormat/>
    <w:pPr>
      <w:spacing w:before="2"/>
      <w:ind w:left="107"/>
    </w:pPr>
  </w:style>
  <w:style w:type="paragraph" w:styleId="Intestazione">
    <w:name w:val="header"/>
    <w:basedOn w:val="Normale"/>
    <w:link w:val="IntestazioneCarattere"/>
    <w:uiPriority w:val="99"/>
    <w:unhideWhenUsed/>
    <w:rsid w:val="00D52CCF"/>
    <w:pPr>
      <w:tabs>
        <w:tab w:val="center" w:pos="4819"/>
        <w:tab w:val="right" w:pos="9638"/>
      </w:tabs>
    </w:pPr>
  </w:style>
  <w:style w:type="character" w:customStyle="1" w:styleId="IntestazioneCarattere">
    <w:name w:val="Intestazione Carattere"/>
    <w:basedOn w:val="Carpredefinitoparagrafo"/>
    <w:link w:val="Intestazione"/>
    <w:uiPriority w:val="99"/>
    <w:rsid w:val="00D52CCF"/>
    <w:rPr>
      <w:rFonts w:ascii="Verdana" w:eastAsia="Verdana" w:hAnsi="Verdana" w:cs="Verdana"/>
    </w:rPr>
  </w:style>
  <w:style w:type="paragraph" w:styleId="Pidipagina">
    <w:name w:val="footer"/>
    <w:basedOn w:val="Normale"/>
    <w:link w:val="PidipaginaCarattere"/>
    <w:uiPriority w:val="99"/>
    <w:unhideWhenUsed/>
    <w:rsid w:val="00D52CCF"/>
    <w:pPr>
      <w:tabs>
        <w:tab w:val="center" w:pos="4819"/>
        <w:tab w:val="right" w:pos="9638"/>
      </w:tabs>
    </w:pPr>
  </w:style>
  <w:style w:type="character" w:customStyle="1" w:styleId="PidipaginaCarattere">
    <w:name w:val="Piè di pagina Carattere"/>
    <w:basedOn w:val="Carpredefinitoparagrafo"/>
    <w:link w:val="Pidipagina"/>
    <w:uiPriority w:val="99"/>
    <w:rsid w:val="00D52CCF"/>
    <w:rPr>
      <w:rFonts w:ascii="Verdana" w:eastAsia="Verdana" w:hAnsi="Verdana" w:cs="Verdana"/>
    </w:rPr>
  </w:style>
  <w:style w:type="character" w:customStyle="1" w:styleId="fontstyle01">
    <w:name w:val="fontstyle01"/>
    <w:basedOn w:val="Carpredefinitoparagrafo"/>
    <w:rsid w:val="0034332B"/>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rPr>
  </w:style>
  <w:style w:type="paragraph" w:styleId="Titolo1">
    <w:name w:val="heading 1"/>
    <w:basedOn w:val="Normale"/>
    <w:uiPriority w:val="1"/>
    <w:qFormat/>
    <w:pPr>
      <w:ind w:left="2418" w:right="2433"/>
      <w:jc w:val="center"/>
      <w:outlineLvl w:val="0"/>
    </w:pPr>
    <w:rPr>
      <w:rFonts w:ascii="Tahoma" w:eastAsia="Tahoma" w:hAnsi="Tahoma" w:cs="Tahom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20" w:hanging="361"/>
    </w:pPr>
  </w:style>
  <w:style w:type="paragraph" w:customStyle="1" w:styleId="TableParagraph">
    <w:name w:val="Table Paragraph"/>
    <w:basedOn w:val="Normale"/>
    <w:uiPriority w:val="1"/>
    <w:qFormat/>
    <w:pPr>
      <w:spacing w:before="2"/>
      <w:ind w:left="107"/>
    </w:pPr>
  </w:style>
  <w:style w:type="paragraph" w:styleId="Intestazione">
    <w:name w:val="header"/>
    <w:basedOn w:val="Normale"/>
    <w:link w:val="IntestazioneCarattere"/>
    <w:uiPriority w:val="99"/>
    <w:unhideWhenUsed/>
    <w:rsid w:val="00D52CCF"/>
    <w:pPr>
      <w:tabs>
        <w:tab w:val="center" w:pos="4819"/>
        <w:tab w:val="right" w:pos="9638"/>
      </w:tabs>
    </w:pPr>
  </w:style>
  <w:style w:type="character" w:customStyle="1" w:styleId="IntestazioneCarattere">
    <w:name w:val="Intestazione Carattere"/>
    <w:basedOn w:val="Carpredefinitoparagrafo"/>
    <w:link w:val="Intestazione"/>
    <w:uiPriority w:val="99"/>
    <w:rsid w:val="00D52CCF"/>
    <w:rPr>
      <w:rFonts w:ascii="Verdana" w:eastAsia="Verdana" w:hAnsi="Verdana" w:cs="Verdana"/>
    </w:rPr>
  </w:style>
  <w:style w:type="paragraph" w:styleId="Pidipagina">
    <w:name w:val="footer"/>
    <w:basedOn w:val="Normale"/>
    <w:link w:val="PidipaginaCarattere"/>
    <w:uiPriority w:val="99"/>
    <w:unhideWhenUsed/>
    <w:rsid w:val="00D52CCF"/>
    <w:pPr>
      <w:tabs>
        <w:tab w:val="center" w:pos="4819"/>
        <w:tab w:val="right" w:pos="9638"/>
      </w:tabs>
    </w:pPr>
  </w:style>
  <w:style w:type="character" w:customStyle="1" w:styleId="PidipaginaCarattere">
    <w:name w:val="Piè di pagina Carattere"/>
    <w:basedOn w:val="Carpredefinitoparagrafo"/>
    <w:link w:val="Pidipagina"/>
    <w:uiPriority w:val="99"/>
    <w:rsid w:val="00D52CCF"/>
    <w:rPr>
      <w:rFonts w:ascii="Verdana" w:eastAsia="Verdana" w:hAnsi="Verdana" w:cs="Verdana"/>
    </w:rPr>
  </w:style>
  <w:style w:type="character" w:customStyle="1" w:styleId="fontstyle01">
    <w:name w:val="fontstyle01"/>
    <w:basedOn w:val="Carpredefinitoparagrafo"/>
    <w:rsid w:val="0034332B"/>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73427-DB17-41E0-AA8D-8F4480F7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1289</Words>
  <Characters>7353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Roberto</cp:lastModifiedBy>
  <cp:revision>2</cp:revision>
  <dcterms:created xsi:type="dcterms:W3CDTF">2021-09-17T10:50:00Z</dcterms:created>
  <dcterms:modified xsi:type="dcterms:W3CDTF">2021-09-17T10:50:00Z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Microsoft® Word 2016</vt:lpwstr>
  </property>
  <property fmtid="{D5CDD505-2E9C-101B-9397-08002B2CF9AE}" pid="4" name="LastSaved">
    <vt:filetime>2021-07-01T00:00:00Z</vt:filetime>
  </property>
</Properties>
</file>