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4C70" w14:textId="77777777"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  <w:bookmarkStart w:id="0" w:name="_GoBack"/>
      <w:bookmarkEnd w:id="0"/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14:paraId="07CC3D2E" w14:textId="77777777"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14:paraId="2FEB4897" w14:textId="5F7ECF29" w:rsidR="00A17AAB" w:rsidRPr="00A17AAB" w:rsidRDefault="00BE3A84" w:rsidP="00BE3A84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Procedura negoziata sotto soglia per l’affidamento del </w:t>
      </w:r>
      <w:r w:rsidRPr="00BE3A84">
        <w:rPr>
          <w:rFonts w:ascii="Calibri" w:hAnsi="Calibri" w:cs="Calibri"/>
          <w:sz w:val="20"/>
          <w:szCs w:val="20"/>
        </w:rPr>
        <w:t xml:space="preserve">servizio </w:t>
      </w:r>
      <w:r w:rsidR="00556768">
        <w:rPr>
          <w:rFonts w:ascii="Calibri" w:hAnsi="Calibri" w:cs="Calibri"/>
          <w:sz w:val="20"/>
          <w:szCs w:val="20"/>
        </w:rPr>
        <w:t xml:space="preserve">vigilanza armata </w:t>
      </w:r>
      <w:r w:rsidR="00556768" w:rsidRPr="00556768">
        <w:rPr>
          <w:rFonts w:ascii="Calibri" w:hAnsi="Calibri" w:cs="Calibri"/>
          <w:sz w:val="20"/>
          <w:szCs w:val="20"/>
        </w:rPr>
        <w:t xml:space="preserve">e sicurezza della sede dell’Istituto di Ingegneria del Mare del CNR, del comprensorio del CEIMM e della sede di NEMI </w:t>
      </w:r>
      <w:r w:rsidRPr="00BE3A84">
        <w:rPr>
          <w:rFonts w:ascii="Calibri" w:hAnsi="Calibri" w:cs="Calibri"/>
          <w:sz w:val="20"/>
          <w:szCs w:val="20"/>
        </w:rPr>
        <w:t xml:space="preserve">un periodo di </w:t>
      </w:r>
      <w:r w:rsidR="00556768">
        <w:rPr>
          <w:rFonts w:ascii="Calibri" w:hAnsi="Calibri" w:cs="Calibri"/>
          <w:sz w:val="20"/>
          <w:szCs w:val="20"/>
        </w:rPr>
        <w:t>36</w:t>
      </w:r>
      <w:r w:rsidRPr="00BE3A84">
        <w:rPr>
          <w:rFonts w:ascii="Calibri" w:hAnsi="Calibri" w:cs="Calibri"/>
          <w:sz w:val="20"/>
          <w:szCs w:val="20"/>
        </w:rPr>
        <w:t xml:space="preserve"> mesi</w:t>
      </w:r>
      <w:r>
        <w:rPr>
          <w:rFonts w:ascii="Calibri" w:hAnsi="Calibri" w:cs="Calibri"/>
          <w:sz w:val="20"/>
          <w:szCs w:val="20"/>
        </w:rPr>
        <w:t xml:space="preserve"> per l’Istituto di Ingegneria del Mare del CNR</w:t>
      </w:r>
    </w:p>
    <w:p w14:paraId="704C8745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</w:p>
    <w:p w14:paraId="42EE47AB" w14:textId="1EDE4E82" w:rsidR="00A17AAB" w:rsidRPr="00A17AAB" w:rsidRDefault="00A17AAB" w:rsidP="00A17AAB">
      <w:pPr>
        <w:rPr>
          <w:rFonts w:ascii="Calibri" w:hAnsi="Calibri" w:cs="Calibri"/>
          <w:szCs w:val="20"/>
        </w:rPr>
      </w:pPr>
      <w:r w:rsidRPr="00A17AAB">
        <w:rPr>
          <w:rFonts w:ascii="Calibri" w:hAnsi="Calibri" w:cs="Calibri"/>
          <w:szCs w:val="20"/>
        </w:rPr>
        <w:t xml:space="preserve">CIG: </w:t>
      </w:r>
    </w:p>
    <w:p w14:paraId="2062CEDE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</w:p>
    <w:p w14:paraId="09A6D6F8" w14:textId="77777777"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14:paraId="6091A409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14:paraId="4E4ED319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41053A27" w14:textId="77777777"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14:paraId="0094BC5E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p w14:paraId="650B1F96" w14:textId="77777777"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40"/>
        <w:gridCol w:w="1449"/>
        <w:gridCol w:w="142"/>
        <w:gridCol w:w="496"/>
        <w:gridCol w:w="2410"/>
      </w:tblGrid>
      <w:tr w:rsidR="00A17AAB" w:rsidRPr="008D4146" w14:paraId="03871EFC" w14:textId="77777777" w:rsidTr="00E97CA2">
        <w:trPr>
          <w:jc w:val="center"/>
        </w:trPr>
        <w:tc>
          <w:tcPr>
            <w:tcW w:w="5640" w:type="dxa"/>
          </w:tcPr>
          <w:p w14:paraId="76C7BB9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6774B66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7394597" w14:textId="77777777" w:rsidTr="00E97CA2">
        <w:trPr>
          <w:jc w:val="center"/>
        </w:trPr>
        <w:tc>
          <w:tcPr>
            <w:tcW w:w="5640" w:type="dxa"/>
          </w:tcPr>
          <w:p w14:paraId="71BC638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1591" w:type="dxa"/>
            <w:gridSpan w:val="2"/>
          </w:tcPr>
          <w:p w14:paraId="6343959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14:paraId="32CF012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14:paraId="4A6BDE3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12D2B01E" w14:textId="77777777" w:rsidTr="00E97CA2">
        <w:trPr>
          <w:jc w:val="center"/>
        </w:trPr>
        <w:tc>
          <w:tcPr>
            <w:tcW w:w="5640" w:type="dxa"/>
          </w:tcPr>
          <w:p w14:paraId="5B2F889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499922A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3F9249A1" w14:textId="77777777" w:rsidTr="00E97CA2">
        <w:trPr>
          <w:jc w:val="center"/>
        </w:trPr>
        <w:tc>
          <w:tcPr>
            <w:tcW w:w="5640" w:type="dxa"/>
          </w:tcPr>
          <w:p w14:paraId="37BB2DC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22D77AE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66FDF29" w14:textId="77777777" w:rsidTr="00E97CA2">
        <w:trPr>
          <w:jc w:val="center"/>
        </w:trPr>
        <w:tc>
          <w:tcPr>
            <w:tcW w:w="10137" w:type="dxa"/>
            <w:gridSpan w:val="5"/>
          </w:tcPr>
          <w:p w14:paraId="6A1F864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14:paraId="19397B1A" w14:textId="77777777" w:rsidTr="00E97CA2">
        <w:trPr>
          <w:jc w:val="center"/>
        </w:trPr>
        <w:tc>
          <w:tcPr>
            <w:tcW w:w="10137" w:type="dxa"/>
            <w:gridSpan w:val="5"/>
          </w:tcPr>
          <w:p w14:paraId="1CD101A9" w14:textId="6D2D7D05"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9" o:title=""/>
                </v:shape>
                <w:control r:id="rId10" w:name="OptionButton1" w:shapeid="_x0000_i1033"/>
              </w:object>
            </w:r>
          </w:p>
        </w:tc>
      </w:tr>
      <w:tr w:rsidR="00E97CA2" w:rsidRPr="008D4146" w14:paraId="6A44D411" w14:textId="77777777" w:rsidTr="00E97CA2">
        <w:trPr>
          <w:jc w:val="center"/>
        </w:trPr>
        <w:tc>
          <w:tcPr>
            <w:tcW w:w="10137" w:type="dxa"/>
            <w:gridSpan w:val="5"/>
          </w:tcPr>
          <w:p w14:paraId="4D344B98" w14:textId="760920B5"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iCs/>
                <w:szCs w:val="20"/>
              </w:rPr>
              <w:object w:dxaOrig="225" w:dyaOrig="225">
                <v:shape id="_x0000_i1035" type="#_x0000_t75" style="width:108pt;height:18.75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A17AAB" w:rsidRPr="008D4146" w14:paraId="093C3387" w14:textId="77777777" w:rsidTr="00E97CA2">
        <w:trPr>
          <w:jc w:val="center"/>
        </w:trPr>
        <w:tc>
          <w:tcPr>
            <w:tcW w:w="5640" w:type="dxa"/>
          </w:tcPr>
          <w:p w14:paraId="6D8885D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29825D2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4B85132" w14:textId="77777777" w:rsidTr="00E97CA2">
        <w:trPr>
          <w:jc w:val="center"/>
        </w:trPr>
        <w:tc>
          <w:tcPr>
            <w:tcW w:w="5640" w:type="dxa"/>
          </w:tcPr>
          <w:p w14:paraId="659188C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B38FFC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0B6577F7" w14:textId="77777777" w:rsidTr="00E97CA2">
        <w:trPr>
          <w:jc w:val="center"/>
        </w:trPr>
        <w:tc>
          <w:tcPr>
            <w:tcW w:w="5640" w:type="dxa"/>
          </w:tcPr>
          <w:p w14:paraId="5E0FF34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4F5F93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4775B811" w14:textId="77777777" w:rsidTr="00E97CA2">
        <w:trPr>
          <w:jc w:val="center"/>
        </w:trPr>
        <w:tc>
          <w:tcPr>
            <w:tcW w:w="5640" w:type="dxa"/>
          </w:tcPr>
          <w:p w14:paraId="4EB7E3D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14:paraId="7FABC5C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14:paraId="7BCE6E7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14:paraId="397137C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6870DD16" w14:textId="77777777" w:rsidTr="00E97CA2">
        <w:trPr>
          <w:jc w:val="center"/>
        </w:trPr>
        <w:tc>
          <w:tcPr>
            <w:tcW w:w="5640" w:type="dxa"/>
          </w:tcPr>
          <w:p w14:paraId="0A2337C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04205BD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3179D79" w14:textId="77777777" w:rsidTr="00E97CA2">
        <w:trPr>
          <w:jc w:val="center"/>
        </w:trPr>
        <w:tc>
          <w:tcPr>
            <w:tcW w:w="5640" w:type="dxa"/>
          </w:tcPr>
          <w:p w14:paraId="4CDE90D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14:paraId="1167B85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FCDA3B9" w14:textId="77777777" w:rsidTr="00E97CA2">
        <w:trPr>
          <w:jc w:val="center"/>
        </w:trPr>
        <w:tc>
          <w:tcPr>
            <w:tcW w:w="5640" w:type="dxa"/>
          </w:tcPr>
          <w:p w14:paraId="4C0109D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14:paraId="5EE26F1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B3EB8BE" w14:textId="77777777" w:rsidTr="00E97CA2">
        <w:trPr>
          <w:jc w:val="center"/>
        </w:trPr>
        <w:tc>
          <w:tcPr>
            <w:tcW w:w="5640" w:type="dxa"/>
          </w:tcPr>
          <w:p w14:paraId="7F0EB12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4497" w:type="dxa"/>
            <w:gridSpan w:val="4"/>
          </w:tcPr>
          <w:p w14:paraId="71AFAAF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4AD8F758" w14:textId="77777777" w:rsidTr="00E97CA2">
        <w:trPr>
          <w:jc w:val="center"/>
        </w:trPr>
        <w:tc>
          <w:tcPr>
            <w:tcW w:w="5640" w:type="dxa"/>
          </w:tcPr>
          <w:p w14:paraId="30424A55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4497" w:type="dxa"/>
            <w:gridSpan w:val="4"/>
          </w:tcPr>
          <w:p w14:paraId="7A2A7BB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0095B920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0AEB9F0D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0C415F76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42F7F783" w14:textId="77777777" w:rsidR="00AF5863" w:rsidRPr="00AF5863" w:rsidRDefault="00AF5863" w:rsidP="00AF5863"/>
    <w:p w14:paraId="3DDF4348" w14:textId="77777777"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 xml:space="preserve"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</w:t>
      </w:r>
      <w:r w:rsidRPr="00AF5863">
        <w:rPr>
          <w:i/>
        </w:rPr>
        <w:lastRenderedPageBreak/>
        <w:t>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14:paraId="3924E57E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626"/>
        <w:gridCol w:w="1714"/>
        <w:gridCol w:w="1276"/>
        <w:gridCol w:w="1831"/>
        <w:gridCol w:w="1610"/>
        <w:gridCol w:w="1626"/>
      </w:tblGrid>
      <w:tr w:rsidR="00AF5863" w:rsidRPr="00AF5863" w14:paraId="235AA3E6" w14:textId="77777777" w:rsidTr="00AF5863">
        <w:tc>
          <w:tcPr>
            <w:tcW w:w="1626" w:type="dxa"/>
            <w:vAlign w:val="center"/>
          </w:tcPr>
          <w:p w14:paraId="5784DF6D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14:paraId="1F7C2B78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14:paraId="799C7062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14:paraId="01905EFC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14:paraId="1A9894EF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14:paraId="6A964ED1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14:paraId="0056DD0A" w14:textId="77777777" w:rsidTr="00AF5863">
        <w:tc>
          <w:tcPr>
            <w:tcW w:w="1626" w:type="dxa"/>
          </w:tcPr>
          <w:p w14:paraId="674E630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4538FCE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64ACDB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6EC3786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5BEE7F0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678BFC31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110414B6" w14:textId="77777777" w:rsidTr="00AF5863">
        <w:tc>
          <w:tcPr>
            <w:tcW w:w="1626" w:type="dxa"/>
          </w:tcPr>
          <w:p w14:paraId="1F6A781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528CD6D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001A632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F5A845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1E94E2A5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50C78347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0FB3899F" w14:textId="77777777" w:rsidTr="00AF5863">
        <w:tc>
          <w:tcPr>
            <w:tcW w:w="1626" w:type="dxa"/>
          </w:tcPr>
          <w:p w14:paraId="649B3C6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3268C3F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83282F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4D72C5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0DCC49E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713B6C38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09DBEADB" w14:textId="77777777" w:rsidTr="00AF5863">
        <w:tc>
          <w:tcPr>
            <w:tcW w:w="1626" w:type="dxa"/>
          </w:tcPr>
          <w:p w14:paraId="75B3542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7BB1441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5A8F4A2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61D965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81E247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376A7374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498F6A0D" w14:textId="77777777" w:rsidTr="00AF5863">
        <w:tc>
          <w:tcPr>
            <w:tcW w:w="1626" w:type="dxa"/>
          </w:tcPr>
          <w:p w14:paraId="54CD927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6D7A022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CB18135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0B6D5F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13AA35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19844AE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5F179599" w14:textId="77777777" w:rsidTr="00AF5863">
        <w:tc>
          <w:tcPr>
            <w:tcW w:w="1626" w:type="dxa"/>
          </w:tcPr>
          <w:p w14:paraId="1DE4605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5D5008C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626E603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3F6ECDB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18D7B3B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2617189A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21965066" w14:textId="77777777" w:rsidTr="00AF5863">
        <w:tc>
          <w:tcPr>
            <w:tcW w:w="1626" w:type="dxa"/>
          </w:tcPr>
          <w:p w14:paraId="26D2FDA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0758C450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36FD4BA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2440CF18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6555985E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1FC34762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14:paraId="7B858B53" w14:textId="77777777" w:rsidTr="00AF5863">
        <w:tc>
          <w:tcPr>
            <w:tcW w:w="1626" w:type="dxa"/>
          </w:tcPr>
          <w:p w14:paraId="1E970BB5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23A8F081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231F3ED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0BB4808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2BC700A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C718EF2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04F0F396" w14:textId="77777777" w:rsidTr="00AF5863">
        <w:tc>
          <w:tcPr>
            <w:tcW w:w="1626" w:type="dxa"/>
          </w:tcPr>
          <w:p w14:paraId="4D3EFA8E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041F0483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4FCD0C9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61E27586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7C392F6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34E9B5D1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0F568D7D" w14:textId="77777777" w:rsidTr="00AF5863">
        <w:tc>
          <w:tcPr>
            <w:tcW w:w="1626" w:type="dxa"/>
          </w:tcPr>
          <w:p w14:paraId="2ABD811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430ECAD1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29877DE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DF5054B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BD8DEF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59EDB571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</w:tbl>
    <w:p w14:paraId="067EBB4C" w14:textId="77777777" w:rsidR="00AF5863" w:rsidRPr="00A17AAB" w:rsidRDefault="00AF5863" w:rsidP="00AF5863">
      <w:pPr>
        <w:ind w:left="454"/>
        <w:jc w:val="both"/>
      </w:pPr>
    </w:p>
    <w:p w14:paraId="46E3FFA4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33D316CA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441DFF8D" w14:textId="77777777"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14:paraId="4DE19897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62A7C6EC" w14:textId="77777777"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14:paraId="5987456B" w14:textId="77777777"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14:paraId="357EF31D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62415FD2" w14:textId="77777777"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14:paraId="0105F5A7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CADAC88" w14:textId="77777777"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14:paraId="0DC0C556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375F30B6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59DC7FFF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7B273738" w14:textId="77777777"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14:paraId="2A7E5A87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4C63B832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289E371F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58B57BBF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45594646" w14:textId="77777777"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14:paraId="0CE9B6E3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7D19D291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lastRenderedPageBreak/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62AFF60A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137ED718" w14:textId="77777777"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307"/>
      </w:tblGrid>
      <w:tr w:rsidR="00581AA0" w14:paraId="0B848E89" w14:textId="77777777" w:rsidTr="00581AA0">
        <w:tc>
          <w:tcPr>
            <w:tcW w:w="534" w:type="dxa"/>
          </w:tcPr>
          <w:p w14:paraId="040E780F" w14:textId="120F3A2F"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7" type="#_x0000_t75" style="width:108pt;height:21pt" o:ole="">
                  <v:imagedata r:id="rId13" o:title=""/>
                </v:shape>
                <w:control r:id="rId14" w:name="OptionButton3" w:shapeid="_x0000_i1037"/>
              </w:object>
            </w:r>
          </w:p>
        </w:tc>
        <w:tc>
          <w:tcPr>
            <w:tcW w:w="8923" w:type="dxa"/>
          </w:tcPr>
          <w:p w14:paraId="3A207DBD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648C30A7" w14:textId="77777777" w:rsidTr="00581AA0">
        <w:tc>
          <w:tcPr>
            <w:tcW w:w="534" w:type="dxa"/>
          </w:tcPr>
          <w:p w14:paraId="775CCD32" w14:textId="758856D1"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9" type="#_x0000_t75" style="width:108pt;height:21pt" o:ole="">
                  <v:imagedata r:id="rId15" o:title=""/>
                </v:shape>
                <w:control r:id="rId16" w:name="OptionButton31" w:shapeid="_x0000_i1039"/>
              </w:object>
            </w:r>
          </w:p>
        </w:tc>
        <w:tc>
          <w:tcPr>
            <w:tcW w:w="8923" w:type="dxa"/>
          </w:tcPr>
          <w:p w14:paraId="3E38F68B" w14:textId="77777777"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14:paraId="2A57043F" w14:textId="77777777" w:rsidR="00361A01" w:rsidRDefault="00361A01" w:rsidP="00FB1BA1">
            <w:pPr>
              <w:jc w:val="both"/>
              <w:rPr>
                <w:rFonts w:cs="Arial"/>
              </w:rPr>
            </w:pPr>
          </w:p>
          <w:p w14:paraId="674A9EE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34BE0E35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33D36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1411F0F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2A514ECE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0C48EBD6" w14:textId="77777777"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7133748B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5E0AFEB1" w14:textId="77777777"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66D9B26D" w14:textId="77777777"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489EEF8A" w14:textId="77777777"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14586936" w14:textId="77777777"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14:paraId="1EC8FB8F" w14:textId="77777777"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footerReference w:type="default" r:id="rId17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D5F06" w14:textId="77777777" w:rsidR="00FB1BA1" w:rsidRDefault="00FB1BA1" w:rsidP="00F91270">
      <w:r>
        <w:separator/>
      </w:r>
    </w:p>
  </w:endnote>
  <w:endnote w:type="continuationSeparator" w:id="0">
    <w:p w14:paraId="0A2145D5" w14:textId="77777777" w:rsidR="00FB1BA1" w:rsidRDefault="00FB1BA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690B" w14:textId="77777777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C55978">
      <w:rPr>
        <w:noProof/>
        <w:szCs w:val="20"/>
      </w:rPr>
      <w:t>1</w:t>
    </w:r>
    <w:r w:rsidRPr="00CA7995">
      <w:rPr>
        <w:szCs w:val="20"/>
      </w:rPr>
      <w:fldChar w:fldCharType="end"/>
    </w:r>
  </w:p>
  <w:p w14:paraId="69267FAB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D238" w14:textId="77777777" w:rsidR="00FB1BA1" w:rsidRDefault="00FB1BA1" w:rsidP="00F91270">
      <w:r>
        <w:separator/>
      </w:r>
    </w:p>
  </w:footnote>
  <w:footnote w:type="continuationSeparator" w:id="0">
    <w:p w14:paraId="44E11A54" w14:textId="77777777" w:rsidR="00FB1BA1" w:rsidRDefault="00FB1BA1" w:rsidP="00F91270">
      <w:r>
        <w:continuationSeparator/>
      </w:r>
    </w:p>
  </w:footnote>
  <w:footnote w:id="1">
    <w:p w14:paraId="153C3F36" w14:textId="77777777"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4351B463" w14:textId="77777777"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3ABE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768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87EC6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3A84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5978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99A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32D9-D524-4F4F-B007-6D283E7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Roberto</cp:lastModifiedBy>
  <cp:revision>2</cp:revision>
  <cp:lastPrinted>2017-10-24T09:03:00Z</cp:lastPrinted>
  <dcterms:created xsi:type="dcterms:W3CDTF">2021-09-16T12:12:00Z</dcterms:created>
  <dcterms:modified xsi:type="dcterms:W3CDTF">2021-09-16T12:12:00Z</dcterms:modified>
</cp:coreProperties>
</file>