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56" w:after="160"/>
        <w:rPr>
          <w:rFonts w:eastAsia="Calibri"/>
          <w:bCs/>
        </w:rPr>
      </w:pPr>
      <w:r>
        <w:rPr>
          <w:rFonts w:eastAsia="Calibri"/>
          <w:bCs/>
        </w:rPr>
        <w:t xml:space="preserve">PATTO DI INTEGRITA’</w:t>
      </w:r>
      <w:r/>
    </w:p>
    <w:p>
      <w:pPr>
        <w:jc w:val="both"/>
        <w:spacing w:lineRule="auto" w:line="256" w:after="160"/>
        <w:rPr>
          <w:rFonts w:eastAsia="Calibri"/>
          <w:b w:val="false"/>
          <w:bCs/>
        </w:rPr>
      </w:pPr>
      <w:r>
        <w:rPr>
          <w:rFonts w:eastAsia="Calibri"/>
          <w:b w:val="false"/>
          <w:bCs/>
        </w:rPr>
        <w:t xml:space="preserve">TRA IL CONSIGLIO NAZIONALE DELLE RICERCHE E GLI OPERATORI ECONOMICI PARTECIPANTI ALLE PROCEDURE DI AFFIDAMENTO DI LAVORI, SERVIZI E FORNITURE AI SENSI DEL D.LGS. 50/2016 </w:t>
      </w:r>
      <w:r>
        <w:rPr>
          <w:b w:val="false"/>
          <w:bCs/>
        </w:rPr>
        <w:t xml:space="preserve">RELATIVO ALLA PROCEDURA APERTA, SOPRA SOGLIA, CON MODALITA’ TELEMATICA SU PIATTAFORMA ASP CONSIP PER L’AFFIDAMENTO DELL’APPALTO AVENTE A</w:t>
      </w:r>
      <w:r>
        <w:rPr>
          <w:b w:val="false"/>
          <w:bCs/>
        </w:rPr>
        <w:t xml:space="preserve">D OGGETTO LA FORNITURA DI UN SOFTWARE E DEI SERVIZI NECESSARI PER LA REALIZZAZIONE DEL BENE BIODIVERSITY AND ECOSYSTEMS - COOPERATIVE CODE DEVELOPMENT (BE-CODE) NELL’AMBITO DEL PROGETTO LIFEWATCHPLUS PIR01_00028 – IMPORTO COMPLESSIVO 300.000,00 € oltre Iva</w:t>
      </w:r>
      <w:r>
        <w:rPr>
          <w:rFonts w:eastAsia="Calibri"/>
          <w:b w:val="false"/>
          <w:bCs/>
        </w:rPr>
        <w:t xml:space="preserve">, </w:t>
      </w:r>
      <w:r>
        <w:rPr>
          <w:b w:val="false"/>
          <w:bCs/>
          <w:sz w:val="20"/>
          <w:szCs w:val="20"/>
        </w:rPr>
        <w:t xml:space="preserve">CIG [9004928DA7]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CUI 80054330586201900678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CPV 48461000-0</w:t>
      </w:r>
      <w:r>
        <w:rPr>
          <w:b w:val="false"/>
          <w:bCs/>
          <w:sz w:val="20"/>
          <w:szCs w:val="20"/>
        </w:rPr>
        <w:t xml:space="preserve">; </w:t>
      </w:r>
      <w:r>
        <w:rPr>
          <w:b w:val="false"/>
          <w:bCs/>
          <w:sz w:val="20"/>
          <w:szCs w:val="20"/>
        </w:rPr>
        <w:t xml:space="preserve">CUP B67E19000030007</w:t>
      </w:r>
      <w:r/>
    </w:p>
    <w:tbl>
      <w:tblPr>
        <w:tblpPr w:horzAnchor="text" w:tblpXSpec="left" w:vertAnchor="text" w:tblpY="1" w:leftFromText="141" w:topFromText="0" w:rightFromText="141" w:bottomFromText="0"/>
        <w:tblW w:w="309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</w:tblGrid>
      <w:tr>
        <w:trPr>
          <w:tblCellSpacing w:w="0" w:type="dxa"/>
          <w:trHeight w:val="189"/>
        </w:trPr>
        <w:tc>
          <w:tcPr>
            <w:tcW w:w="3097" w:type="dxa"/>
            <w:vAlign w:val="center"/>
            <w:textDirection w:val="lrTb"/>
            <w:noWrap w:val="false"/>
          </w:tcPr>
          <w:p>
            <w:pPr>
              <w:spacing w:after="100" w:afterAutospacing="1" w:before="100" w:beforeAutospacing="1"/>
              <w:rPr>
                <w:b w:val="false"/>
                <w:bCs/>
                <w:sz w:val="20"/>
                <w:szCs w:val="20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b w:val="false"/>
                <w:bCs/>
                <w:sz w:val="20"/>
                <w:szCs w:val="20"/>
              </w:rPr>
            </w:r>
            <w:r/>
          </w:p>
        </w:tc>
      </w:tr>
    </w:tbl>
    <w:p>
      <w:pPr>
        <w:pStyle w:val="806"/>
        <w:ind w:right="285" w:hanging="10"/>
        <w:jc w:val="both"/>
        <w:spacing w:lineRule="auto" w:line="247" w:after="3" w:afterAutospacing="0" w:before="0" w:beforeAutospacing="0"/>
      </w:pPr>
      <w:r/>
      <w:r/>
    </w:p>
    <w:p>
      <w:pPr>
        <w:jc w:val="center"/>
        <w:spacing w:lineRule="auto" w:line="256" w:after="160"/>
        <w:rPr>
          <w:rFonts w:eastAsia="Calibri"/>
          <w:b w:val="false"/>
          <w:bCs/>
        </w:rPr>
      </w:pPr>
      <w:r>
        <w:rPr>
          <w:rFonts w:eastAsia="Calibri"/>
          <w:b w:val="false"/>
          <w:bCs/>
        </w:rPr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TRA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</w:rPr>
        <w:t xml:space="preserve">Il CONSIGLIO NAZIONALE DELLE RICERCHE </w:t>
      </w:r>
      <w:r>
        <w:rPr>
          <w:rFonts w:eastAsia="Calibri"/>
        </w:rPr>
        <w:t xml:space="preserve">-  </w:t>
      </w:r>
      <w:r>
        <w:rPr>
          <w:rFonts w:eastAsia="Calibri"/>
        </w:rPr>
        <w:t xml:space="preserve">c.f.</w:t>
      </w:r>
      <w:r>
        <w:rPr>
          <w:rFonts w:eastAsia="Calibri"/>
        </w:rPr>
        <w:t xml:space="preserve"> 80054330586 (di seguito denominato CNR o Amministrazione);</w:t>
      </w:r>
      <w:r/>
    </w:p>
    <w:p>
      <w:pPr>
        <w:jc w:val="center"/>
        <w:spacing w:lineRule="auto" w:line="256" w:after="160"/>
        <w:rPr>
          <w:rFonts w:eastAsia="Calibri"/>
        </w:rPr>
      </w:pPr>
      <w:r>
        <w:rPr>
          <w:rFonts w:eastAsia="Calibri"/>
          <w:b w:val="false"/>
        </w:rPr>
        <w:t xml:space="preserve">E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L’ IMPRESA …………………………...  (di   seguito   denominata OPERATORE ECONOMICO)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con sede legale in................................................... - C.F./ P. IVA.................................................................. </w:t>
      </w:r>
      <w:r>
        <w:rPr>
          <w:rFonts w:eastAsia="Calibri"/>
          <w:b w:val="false"/>
        </w:rPr>
        <w:t xml:space="preserve">rappresentata  da</w:t>
      </w:r>
      <w:r>
        <w:rPr>
          <w:rFonts w:eastAsia="Calibri"/>
          <w:b w:val="false"/>
        </w:rPr>
        <w:t xml:space="preserve">......................................... in qualità di..................................................................................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VISTO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l’art.1, comma 17, della Legge 6 novembre 2012, n.190, recante “</w:t>
      </w:r>
      <w:r>
        <w:rPr>
          <w:rFonts w:eastAsia="Calibri"/>
          <w:b w:val="false"/>
          <w:i/>
        </w:rPr>
        <w:t xml:space="preserve">Disposizioni per la prevenzione e la repressione della corruzione e dell’illegalità nella pubblica Amministrazione</w:t>
      </w:r>
      <w:r>
        <w:rPr>
          <w:rFonts w:eastAsia="Calibri"/>
          <w:b w:val="false"/>
        </w:rPr>
        <w:t xml:space="preserve">”;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il Piano Nazionale Anticorruzione 2016 approvato dall’Autorità Nazionale Anticorruzione (di seguito denominata ANAC) con Delibera n. 831 del 3 agosto 2016 e successivi aggiornamenti;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il D. </w:t>
      </w:r>
      <w:r>
        <w:rPr>
          <w:rFonts w:eastAsia="Calibri"/>
          <w:b w:val="false"/>
        </w:rPr>
        <w:t xml:space="preserve">Lgs</w:t>
      </w:r>
      <w:r>
        <w:rPr>
          <w:rFonts w:eastAsia="Calibri"/>
          <w:b w:val="false"/>
        </w:rPr>
        <w:t xml:space="preserve">. 18 aprile 2016, n. 50 recante “</w:t>
      </w:r>
      <w:r>
        <w:rPr>
          <w:rFonts w:eastAsia="Calibri"/>
          <w:b w:val="false"/>
          <w:i/>
        </w:rPr>
        <w:t xml:space="preserve">Attuazione delle Direttive 2014/23/UE, 2014/24/UE e 2014/25/UE sull’aggiudicazione dei contratti di concessione, sugli appa</w:t>
      </w:r>
      <w:r>
        <w:rPr>
          <w:rFonts w:eastAsia="Calibri"/>
          <w:b w:val="false"/>
          <w:i/>
        </w:rPr>
        <w:t xml:space="preserve">lti pubblici e sulle procedure d’appalto degli enti erogatori nei settori dell’acqua, dell’energia, dei trasporti e dei servizi postali, nonché per il riordino della disciplina vigente in materia di contratti pubblici relativi a lavori, servizi e forniture</w:t>
      </w:r>
      <w:r>
        <w:rPr>
          <w:rFonts w:eastAsia="Calibri"/>
          <w:b w:val="false"/>
        </w:rPr>
        <w:t xml:space="preserve">”, e successive modifiche ed integrazioni (di seguito denominato Codice dei Contratti); 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il Ciclo integrato della Performance, Trasparenza e Anticorruzione 2018-2020 del CNR, adottato con delibera del Consiglio di Amministrazione n. 17/2018 del 30 gennaio 2018;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il D.P.R. 16 aprile 2013, n. 62, con il quale è stato emanato il “</w:t>
      </w:r>
      <w:r>
        <w:rPr>
          <w:rFonts w:eastAsia="Calibri"/>
          <w:b w:val="false"/>
          <w:i/>
        </w:rPr>
        <w:t xml:space="preserve">Regolamento recante codice di comportamento dei dipendenti pubblici, a norma dell’art. 54 del decreto legislativo 30 marzo 2001, n. 165</w:t>
      </w:r>
      <w:r>
        <w:rPr>
          <w:rFonts w:eastAsia="Calibri"/>
          <w:b w:val="false"/>
        </w:rPr>
        <w:t xml:space="preserve">”;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il Codice di comportamento dei dipendenti del CNR, adottato con delibera del Consiglio di amministrazione n. 132/2014 del 10 luglio 2014, aggiornato con delibera n. 137/2017 del 17 ottobre 2017;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L’AMMINISTRAZIONE e L’OPERATORE ECONOMICO CONVENGONO QUANTO SEGUE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1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(Finalità ed ambito di applicazione)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1. Il presente Patto di integrità rappresenta una misura di prevenzione nei confronti di pratiche corruttive, </w:t>
      </w:r>
      <w:r>
        <w:rPr>
          <w:rFonts w:eastAsia="Calibri"/>
          <w:b w:val="false"/>
        </w:rPr>
        <w:t xml:space="preserve">concussive</w:t>
      </w:r>
      <w:r>
        <w:rPr>
          <w:rFonts w:eastAsia="Calibri"/>
          <w:b w:val="false"/>
        </w:rPr>
        <w:t xml:space="preserve"> o comunque tendenti ad inficiare il corretto svolgimento dell’azione amministrativa nell’ambito dei pubblici appalti banditi dall’Amministrazione.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2. Nel Patto sono stabilite reciproche e formali obbligazioni tra l’Amministrazione ed ogni Operatore Economico p</w:t>
      </w:r>
      <w:r>
        <w:rPr>
          <w:rFonts w:eastAsia="Calibri"/>
          <w:b w:val="false"/>
        </w:rPr>
        <w:t xml:space="preserve">artecipante alla procedura di gara ed eventualmente aggiudicatario della stessa, al fine di conformare i propri comportamenti ai principi di lealtà, trasparenza e correttezza in tutte le fasi dell’appalto, dalla partecipazione alla esecuzione contrattuale.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3. Con il Patto di integrità le Parti, in particolare, assumono l’espresso impegno anticorruzione di non offrire, accet</w:t>
      </w:r>
      <w:r>
        <w:rPr>
          <w:rFonts w:eastAsia="Calibri"/>
          <w:b w:val="false"/>
        </w:rPr>
        <w:t xml:space="preserve">tare o richiedere somme di denaro o qualsiasi altra ricompensa, vantaggio o beneficio - sia direttamente che indirettamente tramite intermediari - al fine dell’assegnazione del contratto e/o per distorcerne la relativa corretta esecuzione in corso d’opera.</w:t>
      </w:r>
      <w:r/>
    </w:p>
    <w:p>
      <w:pPr>
        <w:jc w:val="both"/>
        <w:spacing w:lineRule="auto" w:line="256" w:after="160"/>
        <w:rPr>
          <w:rFonts w:eastAsia="Calibri"/>
          <w:b w:val="false"/>
          <w:bCs/>
        </w:rPr>
      </w:pPr>
      <w:r>
        <w:rPr>
          <w:rFonts w:eastAsia="Calibri"/>
          <w:b w:val="false"/>
        </w:rPr>
        <w:t xml:space="preserve">4. Il presente Patto trova applicazione in tutte le procedure di gara sopra e sotto soglia comunitaria</w:t>
      </w:r>
      <w:r>
        <w:rPr>
          <w:rFonts w:eastAsia="Calibri"/>
          <w:b w:val="false"/>
          <w:bCs/>
        </w:rPr>
        <w:t xml:space="preserve">, </w:t>
      </w:r>
      <w:r>
        <w:rPr>
          <w:rFonts w:eastAsia="Calibri"/>
          <w:b w:val="false"/>
        </w:rPr>
        <w:t xml:space="preserve">salvo che per l’affidamento specifico sussista già un apposito Patto di integrità predisposto da altro soggetto giuridico (ad es. </w:t>
      </w:r>
      <w:r>
        <w:rPr>
          <w:rFonts w:eastAsia="Calibri"/>
          <w:b w:val="false"/>
        </w:rPr>
        <w:t xml:space="preserve">Consip</w:t>
      </w:r>
      <w:r>
        <w:rPr>
          <w:rFonts w:eastAsia="Calibri"/>
          <w:b w:val="false"/>
        </w:rPr>
        <w:t xml:space="preserve">). Nelle procedure sotto soglia si intendono ricompresi anche gli affidamenti diretti effettuati sotto il limite dei 40.000,00 euro (quarantamila euro)</w:t>
      </w:r>
      <w:r>
        <w:rPr>
          <w:rFonts w:eastAsia="Calibri"/>
          <w:b w:val="false"/>
          <w:bCs/>
        </w:rPr>
        <w:t xml:space="preserve">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5. Esso disciplina e regola i comportamenti degli operatori economici e di tutti i s</w:t>
      </w:r>
      <w:r>
        <w:rPr>
          <w:rFonts w:eastAsia="Calibri"/>
          <w:b w:val="false"/>
        </w:rPr>
        <w:t xml:space="preserve">oggetti impiegati a qualunque titolo dai medesimi operatori nell’ambito delle procedure di gara indette dall’Amministrazione, cui partecipano, e nella fase di esecuzione del contratto eventualmente a loro affidato in esito alle predette procedure di gara. 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  <w:bCs/>
        </w:rPr>
        <w:t xml:space="preserve">6. </w:t>
      </w:r>
      <w:r>
        <w:rPr>
          <w:rFonts w:eastAsia="Calibri"/>
          <w:b w:val="false"/>
        </w:rPr>
        <w:t xml:space="preserve">Il Patto di integrità, altresì, regola i comportamenti di ogni soggetto dell’Amministrazione impiegato – sotto qualunque forma di rapporto contrattuale previsto dalla vigente normativa – nell’ambito delle procedure di gara, nonché nella fase di e</w:t>
      </w:r>
      <w:r>
        <w:rPr>
          <w:rFonts w:eastAsia="Calibri"/>
          <w:b w:val="false"/>
        </w:rPr>
        <w:t xml:space="preserve">secuzione del conseguente contratto. I medesimi soggetti sono, altresì, a conoscenza del contenuto del presente Patto d’Integrità, il cui spirito condividono pienamente, nonché delle sanzioni previste a loro carico in caso di mancato rispetto dello stesso.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7. Il Patto, sottoscritto per accettazione dal legale rappresentante e dall’eventuale Direttore/i Tecnico/i dell’Operatore Economico, deve essere allegato alla documentazione di g</w:t>
      </w:r>
      <w:r>
        <w:rPr>
          <w:rFonts w:eastAsia="Calibri"/>
          <w:b w:val="false"/>
        </w:rPr>
        <w:t xml:space="preserve">ara nell’ambito di qualsiasi procedura di affidamento e gestione degli appalti di forniture, servizi e lavori esperita dall’Amministrazione – ivi incluse le ipotesi di affidamento diretto – costituendo, altresì, parte integrante del conseguente contratto. 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Nel caso di Consorzi o Raggruppamenti Temporanei di Imprese, il Patto va sottoscritto dal legale rappresentante del Consorzio nonché di ciascuna delle Imprese consorziate o raggruppate e dagli eventuali Direttori Tecnici. 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Nel caso di ricorso all’avvalimento, il Patto va sottoscritto anche dal legale rappresentante della Impresa ausiliaria e dall’eventuale Direttore Tecnico.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Nel caso di subappalto – laddove consentito – il Patto va sottoscritto anche dal legale rappresentante del soggetto affidatario del subappalto medesimo, e dall’eventuale Direttore Tecnico.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8. La presentazione del Patto, sottoscritto per accettazione incondizionata delle relative prescrizioni, costituisce per l’Operatore Economico condizione essenziale per l’ammissione alla procedura di gara, pena l’esclusione dalla medesima. La carenza della</w:t>
      </w:r>
      <w:r>
        <w:rPr>
          <w:rFonts w:eastAsia="Calibri"/>
          <w:b w:val="false"/>
        </w:rPr>
        <w:t xml:space="preserve"> dichiarazione di accettazione del Patto di integrità o la mancata produzione dello stesso debitamente sottoscritto dal concorrente, sono regolarizzabili attraverso la procedura di soccorso istruttorio di cui all’art. 83, comma 9, del Codice dei Contratti.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2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(Obblighi dell’Operatore Economico)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1. L’Operatore Economico conforma la propria condotta ai principi di lealtà, trasparenza e correttezza.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2. L’Operatore Economico si obbliga a non offrire somme di denaro, utilità, vantaggi, benefici o qualsiasi altra ricompensa, sia direttamente che indirettame</w:t>
      </w:r>
      <w:r>
        <w:rPr>
          <w:rFonts w:eastAsia="Calibri"/>
          <w:b w:val="false"/>
        </w:rPr>
        <w:t xml:space="preserve">nte tramite intermediari, al personale dell’Amministrazione, ovvero a terzi, ai fini dell’aggiudicazione della gara o di distorcerne il corretto svolgimento, nonché ai fini dell’assegnazione del contratto o di distorcerne la corretta e regolare esecuzione.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3. L’Operatore Economico, salvi ed impregiudicati gli obblighi legali di denuncia alla competente Autorità Giudiziaria, si impegna: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a) a segnalare all’Amministrazione qualsiasi illecito tentativo di turbativa, irregolarità o distorsione durante le fasi di svolgimento de</w:t>
      </w:r>
      <w:r>
        <w:rPr>
          <w:rFonts w:eastAsia="Calibri"/>
          <w:b w:val="false"/>
        </w:rPr>
        <w:t xml:space="preserve">lla procedura di affidamento o durante l’esecuzione del contratto da parte di ogni interessato o addetto o di chiunque possa influenzare le decisioni relative alla procedura, comprese illecite richieste o pretese dei dipendenti dell’Amministrazione stessa;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b) a segnalare all’Amministrazione qualsiasi illecita richiesta o pretesa da parte di dipendenti dell’Amministrazione stessa o di chiunque possa influenzare le decisioni relative alla procedura di affidamento o all’esecuzione del contratto;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c) qualora i fatti di cui ai precedenti punti a) e b) ne costituiscano il presupposto, a sporgere denuncia alle Autorità competenti e di segnalare il fatto all’ANAC, denunciando, in particolare, ogni tentativo di corruzione, es</w:t>
      </w:r>
      <w:r>
        <w:rPr>
          <w:rFonts w:eastAsia="Calibri"/>
          <w:b w:val="false"/>
        </w:rPr>
        <w:t xml:space="preserve">torsione, intimidazione, o condizionamento di natura criminale (richieste di tangenti, pressioni per indirizzare l’assunzione di personale o l’affidamento di subappalti a determinate imprese, danneggiamenti e/o furti di beni personali o in cantiere, etc.);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d) a non conferire incarichi o stipulare contratti con i soggetti di cui all’art. 53, comma 16-ter, del D. </w:t>
      </w:r>
      <w:r>
        <w:rPr>
          <w:rFonts w:eastAsia="Calibri"/>
          <w:b w:val="false"/>
        </w:rPr>
        <w:t xml:space="preserve">Lgs</w:t>
      </w:r>
      <w:r>
        <w:rPr>
          <w:rFonts w:eastAsia="Calibri"/>
          <w:b w:val="false"/>
        </w:rPr>
        <w:t xml:space="preserve">. n.  165/2001 e </w:t>
      </w:r>
      <w:r>
        <w:rPr>
          <w:rFonts w:eastAsia="Calibri"/>
          <w:b w:val="false"/>
        </w:rPr>
        <w:t xml:space="preserve">s.m.i.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Agli stessi obblighi è tenuta anche l’impresa aggiudicataria della gara nella fase dell’esecuzione del c</w:t>
      </w:r>
      <w:r>
        <w:rPr>
          <w:rFonts w:eastAsia="Calibri"/>
          <w:b w:val="false"/>
        </w:rPr>
        <w:t xml:space="preserve">ontratto, nonché tutti gli eventuali subcontraenti della stessa. A tal fine la clausola che prevede il rispetto degli obblighi di cui al presente Patto di integrità, sarà inserita nei contratti stipulati dall’Operatore economico con i propri subcontraenti.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4. Il legale rappresentante dell’Operatore E</w:t>
      </w:r>
      <w:r>
        <w:rPr>
          <w:rFonts w:eastAsia="Calibri"/>
          <w:b w:val="false"/>
        </w:rPr>
        <w:t xml:space="preserve">conomico informa prontamente e puntualmente tutto il personale di cui si avvale (dipendenti, consulenti, collaboratori e/o subappaltatori) circa il presente Patto di integrità e gli obblighi in esso contenuti e vigila scrupolosamente sulla loro osservanza.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5. Il legale rappresentante dell’Operatore Economico segnala eventuali situazioni di conflitto di interesse, di cui sia a conoscenza, rispetto al personale dell’Amministrazione.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6. Il legale rappresentante dell’Operatore Economico dichiara: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non avere influenzato il procedimento amministrativo diretto a stabilire il contenuto del bando o di altro atto equipollente al fine di condizionare le modalità di scelta del contraente da parte dell’Amministrazione; 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non trovarsi in situazioni di controllo o di collegamento (formale e/o sost</w:t>
      </w:r>
      <w:r>
        <w:rPr>
          <w:rFonts w:eastAsia="Calibri"/>
          <w:b w:val="false"/>
        </w:rPr>
        <w:t xml:space="preserve">anziale) con altri concorrenti, tali da comportare l’imputazione delle relative offerte ad un unico centro decisionale, e che non si è accordato e non si accorderà con altri partecipanti alla gara per limitare o eludere in alcun modo la libera concorrenza;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non trovarsi in altre situazioni ritenute incompatibili con la partecipazione alle gare dal Codice dei Contratti, dal Codice Civile ovvero dalle altre disposizioni normative vigenti;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non aver conferito incarichi ai soggetti di cui all’art. 53, comma 16-ter, del D. </w:t>
      </w:r>
      <w:r>
        <w:rPr>
          <w:rFonts w:eastAsia="Calibri"/>
          <w:b w:val="false"/>
        </w:rPr>
        <w:t xml:space="preserve">Lgs</w:t>
      </w:r>
      <w:r>
        <w:rPr>
          <w:rFonts w:eastAsia="Calibri"/>
          <w:b w:val="false"/>
        </w:rPr>
        <w:t xml:space="preserve">. n. 165/2001 e s. </w:t>
      </w:r>
      <w:r>
        <w:rPr>
          <w:rFonts w:eastAsia="Calibri"/>
          <w:b w:val="false"/>
        </w:rPr>
        <w:t xml:space="preserve">m.i.</w:t>
      </w:r>
      <w:r>
        <w:rPr>
          <w:rFonts w:eastAsia="Calibri"/>
          <w:b w:val="false"/>
        </w:rPr>
        <w:t xml:space="preserve">, o di non aver stipulato contratti con i medesimi soggetti;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essere consapevole che, qualora venga accertata la violazione del suddetto divieto di cui all’art. 53, comma 16-ter, del D. </w:t>
      </w:r>
      <w:r>
        <w:rPr>
          <w:rFonts w:eastAsia="Calibri"/>
          <w:b w:val="false"/>
        </w:rPr>
        <w:t xml:space="preserve">Lgs</w:t>
      </w:r>
      <w:r>
        <w:rPr>
          <w:rFonts w:eastAsia="Calibri"/>
          <w:b w:val="false"/>
        </w:rPr>
        <w:t xml:space="preserve">. n. 165/2001 verrà disposta l’immediata esclusione dalla partecipazione alla procedura d’affidamento;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di impegnarsi a rendere noti, su richiesta dell’Amministrazione, tutti i pagamenti eseguiti e riguardanti il contratto eventualmente assegnatogli a seguito della procedura di affidamento.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3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(Obblighi dell’Amministrazione)</w:t>
      </w:r>
      <w:r/>
    </w:p>
    <w:p>
      <w:pPr>
        <w:jc w:val="both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1. L’Amministrazione conforma la propria condotta ai principi di lealtà, trasparenza e correttezza. 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In particolare essa assume l’espresso impegno anticorruzione di non of</w:t>
      </w:r>
      <w:r>
        <w:rPr>
          <w:rFonts w:eastAsia="Calibri"/>
          <w:b w:val="false"/>
        </w:rPr>
        <w:t xml:space="preserve">frire, accettare o richiedere somme di denaro o qualsiasi altra ricompensa, vantaggio o beneficio, sia direttamente che indirettamente tramite intermediari, al fine dell'assegnazione del contratto e/o al fine di distorcerne la relativa corretta esecuzione.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2. L’Amministrazione informa il proprio personale e tutti i soggetti in essa operanti, a qualsiasi titolo co</w:t>
      </w:r>
      <w:r>
        <w:rPr>
          <w:rFonts w:eastAsia="Calibri"/>
          <w:b w:val="false"/>
        </w:rPr>
        <w:t xml:space="preserve">involti nella procedura di gara sopra indicata e nelle fasi di vigilanza, controllo e gestione dell’esecuzione del relativo contratto qualora assegnato, circa il presente Patto di integrità e gli obblighi in esso contenuti, vigilando sulla loro osservanza.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3. L’Amministrazione attiverà le procedure di legge nei confronti del personale che non conformi il proprio operato ai principi richiamati al comma primo del presente articolo</w:t>
      </w:r>
      <w:r>
        <w:rPr>
          <w:rFonts w:eastAsia="Calibri"/>
          <w:b w:val="false"/>
          <w:bCs/>
        </w:rPr>
        <w:t xml:space="preserve">, </w:t>
      </w:r>
      <w:r>
        <w:rPr>
          <w:rFonts w:eastAsia="Calibri"/>
          <w:b w:val="false"/>
        </w:rPr>
        <w:t xml:space="preserve">alle disposizioni contenute nel codice di comportamento dei dipendenti pubblici di cui al D.P.R. 16 aprile 2013, n.62, nonché a quelle prescritte nel Codice di comportamento dei dipendenti dell’Amministrazione.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4.</w:t>
      </w:r>
      <w:r>
        <w:rPr>
          <w:rFonts w:eastAsia="Calibri"/>
          <w:b w:val="false"/>
        </w:rPr>
        <w:t xml:space="preserve"> L’Amministrazione aprirà un procedimento istruttorio per la verifica di ogni eventuale segnalazione ricevuta in merito a condotte anomale, poste in essere dal proprio personale in relazione al procedimento di gara ed alle fasi di esecuzione del contratto.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5. L’Amministrazione formalizza l’accertamento delle violazioni del presente Patto di integrità, nel rispetto del principio del contraddittorio.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4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(Violazione degli obblighi assunti con il Patto di integrità) 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1. La violazione degli obblighi di cui al precedente art. 2 è dichiarata all’esito di un procedimento di verifica nel corso del quale verrà garantito adeguato contraddittorio con l’Operatore economico coinvolto nel procedimento. 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  <w:bCs/>
        </w:rPr>
        <w:t xml:space="preserve">2. </w:t>
      </w:r>
      <w:r>
        <w:rPr>
          <w:rFonts w:eastAsia="Calibri"/>
          <w:b w:val="false"/>
        </w:rPr>
        <w:t xml:space="preserve">Nel caso di accertata violazione da parte dell’Operat</w:t>
      </w:r>
      <w:r>
        <w:rPr>
          <w:rFonts w:eastAsia="Calibri"/>
          <w:b w:val="false"/>
        </w:rPr>
        <w:t xml:space="preserve">ore economico, sia in veste di concorrente che di aggiudicatario, di uno degli impegni assunti di cui al precedente art. 2, saranno applicate anche in via cumulativa e fatte salve specifiche ulteriori previsioni di legge, una o più delle seguenti sanzioni: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esclusione dalla procedura di affidamento ed escussione della cauzione, se la violazione è accertata nella fase precedente all’aggiudicazione dell’appalto;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revoca dell’aggiudicazione ed escussione della cauzione se la violazione è accertata nella fase successiva all’aggiudicazione dell’appalto, ma precedente alla stipula del contratto;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risoluzione del contratto, ai sensi e per gli effetti dell’art. 1456 del codice civile, ed escussione della cauzione definitiva, se la violazione è accertata nella fase di esecuzione dell’appalto;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- segnalazione del fatto all’ANAC ed alle competenti Autorità.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3. Resta ferma la facoltà per l’Ammin</w:t>
      </w:r>
      <w:r>
        <w:rPr>
          <w:rFonts w:eastAsia="Calibri"/>
          <w:b w:val="false"/>
        </w:rPr>
        <w:t xml:space="preserve">istrazione di non avvalersi della risoluzione del contratto qualora lo ritenga pregiudizievole agli interessi pubblici sottesi al contratto; sono fatti salvi, in ogni caso, l’eventuale diritto al risarcimento del danno e l’applicazione di eventuali penali.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4. In ogni caso, l’accertamento di una violazione degli</w:t>
      </w:r>
      <w:r>
        <w:rPr>
          <w:rFonts w:eastAsia="Calibri"/>
          <w:b w:val="false"/>
        </w:rPr>
        <w:t xml:space="preserve"> obblighi assunti con il presente Patto di Integrità costituisce legittima causa di esclusione dell’Impresa dalla partecipazione alle procedure di affidamento degli appalti di lavori, forniture e servizi bandite dall’Amministrazione per il successivo anno.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5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(Efficacia del patto di integrità)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Il presente Patto di integrità e le relative sanzioni si applicano dall’avvio della procedura di affidamento sino alla completa esecuzione del contratto assegnato a seguito della procedura medesima.</w:t>
      </w:r>
      <w:r/>
    </w:p>
    <w:p>
      <w:pPr>
        <w:jc w:val="center"/>
        <w:spacing w:lineRule="auto" w:line="256"/>
        <w:rPr>
          <w:rFonts w:eastAsia="Calibri"/>
          <w:b w:val="false"/>
        </w:rPr>
      </w:pPr>
      <w:r>
        <w:rPr>
          <w:rFonts w:eastAsia="Calibri"/>
          <w:b w:val="false"/>
        </w:rPr>
        <w:t xml:space="preserve">Articolo 6</w:t>
      </w:r>
      <w:r/>
    </w:p>
    <w:p>
      <w:pPr>
        <w:jc w:val="center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(Controversie)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Ogni controversia relativa all’interpretazione ed alla esecuzione del presente Patto di Integrità fra l’Amministrazione e gli Operatori Economici, ovvero tra gli stessi Operatori Economici sarà risolta dal Foro di Roma.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Data,…</w:t>
      </w:r>
      <w:r>
        <w:rPr>
          <w:rFonts w:eastAsia="Calibri"/>
          <w:b w:val="false"/>
        </w:rPr>
        <w:t xml:space="preserve">……………</w:t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eastAsia="Calibri"/>
          <w:b w:val="false"/>
        </w:rPr>
        <w:t xml:space="preserve">                     Il CNR                                                                                     L’Operatore Economico</w:t>
      </w:r>
      <w:r/>
    </w:p>
    <w:p>
      <w:pPr>
        <w:jc w:val="both"/>
        <w:spacing w:lineRule="auto" w:line="256" w:after="160"/>
        <w:rPr>
          <w:rFonts w:eastAsia="Calibri"/>
        </w:rPr>
      </w:pPr>
      <w:r>
        <w:rPr>
          <w:rFonts w:eastAsia="Calibri"/>
        </w:rPr>
      </w:r>
      <w:r/>
    </w:p>
    <w:p>
      <w:pPr>
        <w:rPr>
          <w:rFonts w:ascii="Montserrat" w:hAnsi="Montserrat" w:cs="Calibri" w:eastAsia="Calibri"/>
          <w:sz w:val="20"/>
          <w:szCs w:val="20"/>
        </w:rPr>
      </w:pPr>
      <w:r>
        <w:rPr>
          <w:rFonts w:ascii="Montserrat" w:hAnsi="Montserrat" w:cs="Calibri" w:eastAsia="Calibri"/>
          <w:sz w:val="20"/>
          <w:szCs w:val="20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417" w:right="1134" w:bottom="1134" w:left="1170" w:header="567" w:footer="30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noto sans symbols">
    <w:panose1 w:val="020B0609030804020204"/>
  </w:font>
  <w:font w:name="Courier New">
    <w:panose1 w:val="02070309020205020404"/>
  </w:font>
  <w:font w:name="Georgia">
    <w:panose1 w:val="02040502050405020303"/>
  </w:font>
  <w:font w:name="Candara">
    <w:panose1 w:val="020F050202020403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montserrat">
    <w:panose1 w:val="020B06090308040202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2"/>
        <w:szCs w:val="22"/>
      </w:rPr>
    </w:pPr>
    <w:r>
      <w:rPr>
        <w:sz w:val="22"/>
        <w:szCs w:val="22"/>
      </w:rPr>
    </w:r>
    <w:r/>
  </w:p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2"/>
        <w:szCs w:val="22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3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0"/>
        <w:szCs w:val="20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4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1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2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</w:rPr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42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08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5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420" w:hanging="36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06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21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42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num w:numId="1">
    <w:abstractNumId w:val="3"/>
  </w:num>
  <w:num w:numId="2">
    <w:abstractNumId w:val="14"/>
  </w:num>
  <w:num w:numId="3">
    <w:abstractNumId w:val="19"/>
  </w:num>
  <w:num w:numId="4">
    <w:abstractNumId w:val="2"/>
  </w:num>
  <w:num w:numId="5">
    <w:abstractNumId w:val="6"/>
  </w:num>
  <w:num w:numId="6">
    <w:abstractNumId w:val="8"/>
  </w:num>
  <w:num w:numId="7">
    <w:abstractNumId w:val="10"/>
  </w:num>
  <w:num w:numId="8">
    <w:abstractNumId w:val="15"/>
  </w:num>
  <w:num w:numId="9">
    <w:abstractNumId w:val="23"/>
  </w:num>
  <w:num w:numId="10">
    <w:abstractNumId w:val="17"/>
  </w:num>
  <w:num w:numId="11">
    <w:abstractNumId w:val="12"/>
  </w:num>
  <w:num w:numId="12">
    <w:abstractNumId w:val="1"/>
  </w:num>
  <w:num w:numId="13">
    <w:abstractNumId w:val="0"/>
  </w:num>
  <w:num w:numId="14">
    <w:abstractNumId w:val="13"/>
  </w:num>
  <w:num w:numId="15">
    <w:abstractNumId w:val="24"/>
  </w:num>
  <w:num w:numId="16">
    <w:abstractNumId w:val="7"/>
  </w:num>
  <w:num w:numId="17">
    <w:abstractNumId w:val="4"/>
  </w:num>
  <w:num w:numId="18">
    <w:abstractNumId w:val="9"/>
  </w:num>
  <w:num w:numId="19">
    <w:abstractNumId w:val="21"/>
  </w:num>
  <w:num w:numId="20">
    <w:abstractNumId w:val="20"/>
  </w:num>
  <w:num w:numId="21">
    <w:abstractNumId w:val="18"/>
  </w:num>
  <w:num w:numId="22">
    <w:abstractNumId w:val="11"/>
  </w:num>
  <w:num w:numId="23">
    <w:abstractNumId w:val="22"/>
  </w:num>
  <w:num w:numId="24">
    <w:abstractNumId w:val="16"/>
  </w:num>
  <w:num w:numId="25">
    <w:abstractNumId w:val="5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b/>
        <w:color w:val="auto"/>
        <w:spacing w:val="0"/>
        <w:position w:val="0"/>
        <w:sz w:val="24"/>
        <w:szCs w:val="24"/>
        <w:lang w:val="it-IT" w:bidi="ar-SA" w:eastAsia="it-IT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2 Char"/>
    <w:basedOn w:val="603"/>
    <w:link w:val="595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03"/>
    <w:link w:val="596"/>
    <w:uiPriority w:val="9"/>
    <w:rPr>
      <w:rFonts w:ascii="Arial" w:hAnsi="Arial" w:cs="Arial" w:eastAsia="Arial"/>
      <w:sz w:val="30"/>
      <w:szCs w:val="30"/>
    </w:rPr>
  </w:style>
  <w:style w:type="character" w:styleId="20">
    <w:name w:val="Heading 5 Char"/>
    <w:basedOn w:val="603"/>
    <w:link w:val="598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03"/>
    <w:link w:val="599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03"/>
    <w:link w:val="6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03"/>
    <w:link w:val="601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03"/>
    <w:link w:val="602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03"/>
    <w:link w:val="768"/>
    <w:uiPriority w:val="10"/>
    <w:rPr>
      <w:sz w:val="48"/>
      <w:szCs w:val="48"/>
    </w:rPr>
  </w:style>
  <w:style w:type="character" w:styleId="35">
    <w:name w:val="Subtitle Char"/>
    <w:basedOn w:val="603"/>
    <w:link w:val="796"/>
    <w:uiPriority w:val="11"/>
    <w:rPr>
      <w:sz w:val="24"/>
      <w:szCs w:val="24"/>
    </w:rPr>
  </w:style>
  <w:style w:type="character" w:styleId="37">
    <w:name w:val="Quote Char"/>
    <w:link w:val="618"/>
    <w:uiPriority w:val="29"/>
    <w:rPr>
      <w:i/>
    </w:rPr>
  </w:style>
  <w:style w:type="character" w:styleId="39">
    <w:name w:val="Intense Quote Char"/>
    <w:link w:val="620"/>
    <w:uiPriority w:val="30"/>
    <w:rPr>
      <w:i/>
    </w:rPr>
  </w:style>
  <w:style w:type="character" w:styleId="174">
    <w:name w:val="Footnote Text Char"/>
    <w:link w:val="751"/>
    <w:uiPriority w:val="99"/>
    <w:rPr>
      <w:sz w:val="18"/>
    </w:rPr>
  </w:style>
  <w:style w:type="character" w:styleId="177">
    <w:name w:val="Endnote Text Char"/>
    <w:link w:val="754"/>
    <w:uiPriority w:val="99"/>
    <w:rPr>
      <w:sz w:val="20"/>
    </w:rPr>
  </w:style>
  <w:style w:type="paragraph" w:styleId="593" w:default="1">
    <w:name w:val="Normal"/>
    <w:qFormat/>
  </w:style>
  <w:style w:type="paragraph" w:styleId="594">
    <w:name w:val="Heading 1"/>
    <w:basedOn w:val="593"/>
    <w:next w:val="593"/>
    <w:link w:val="776"/>
    <w:qFormat/>
    <w:uiPriority w:val="9"/>
    <w:rPr>
      <w:rFonts w:ascii="Calibri" w:hAnsi="Calibri" w:eastAsia="Calibri"/>
      <w:b w:val="false"/>
      <w:sz w:val="28"/>
      <w:szCs w:val="28"/>
      <w:lang w:eastAsia="en-US"/>
    </w:rPr>
    <w:pPr>
      <w:jc w:val="both"/>
      <w:outlineLvl w:val="0"/>
    </w:pPr>
  </w:style>
  <w:style w:type="paragraph" w:styleId="595">
    <w:name w:val="Heading 2"/>
    <w:basedOn w:val="593"/>
    <w:next w:val="593"/>
    <w:link w:val="607"/>
    <w:qFormat/>
    <w:uiPriority w:val="9"/>
    <w:semiHidden/>
    <w:unhideWhenUsed/>
    <w:rPr>
      <w:sz w:val="36"/>
      <w:szCs w:val="36"/>
    </w:rPr>
    <w:pPr>
      <w:keepLines/>
      <w:keepNext/>
      <w:spacing w:after="80" w:before="360"/>
      <w:outlineLvl w:val="1"/>
    </w:pPr>
  </w:style>
  <w:style w:type="paragraph" w:styleId="596">
    <w:name w:val="Heading 3"/>
    <w:basedOn w:val="593"/>
    <w:next w:val="593"/>
    <w:link w:val="608"/>
    <w:qFormat/>
    <w:uiPriority w:val="9"/>
    <w:semiHidden/>
    <w:unhideWhenUsed/>
    <w:rPr>
      <w:sz w:val="28"/>
      <w:szCs w:val="28"/>
    </w:rPr>
    <w:pPr>
      <w:keepLines/>
      <w:keepNext/>
      <w:spacing w:after="80" w:before="280"/>
      <w:outlineLvl w:val="2"/>
    </w:pPr>
  </w:style>
  <w:style w:type="paragraph" w:styleId="597">
    <w:name w:val="Heading 4"/>
    <w:basedOn w:val="593"/>
    <w:next w:val="593"/>
    <w:link w:val="790"/>
    <w:qFormat/>
    <w:uiPriority w:val="9"/>
    <w:semiHidden/>
    <w:unhideWhenUsed/>
    <w:rPr>
      <w:rFonts w:ascii="Calibri Light" w:hAnsi="Calibri Light" w:cs="Calibri Light" w:eastAsia="Calibri Light"/>
      <w:i/>
      <w:iCs/>
      <w:color w:val="2E74B5" w:themeColor="accent1" w:themeShade="BF"/>
    </w:rPr>
    <w:pPr>
      <w:keepLines/>
      <w:keepNext/>
      <w:spacing w:before="40"/>
      <w:outlineLvl w:val="3"/>
    </w:pPr>
  </w:style>
  <w:style w:type="paragraph" w:styleId="598">
    <w:name w:val="Heading 5"/>
    <w:basedOn w:val="593"/>
    <w:next w:val="593"/>
    <w:link w:val="610"/>
    <w:qFormat/>
    <w:uiPriority w:val="9"/>
    <w:semiHidden/>
    <w:unhideWhenUsed/>
    <w:rPr>
      <w:sz w:val="22"/>
      <w:szCs w:val="22"/>
    </w:rPr>
    <w:pPr>
      <w:keepLines/>
      <w:keepNext/>
      <w:spacing w:after="40" w:before="220"/>
      <w:outlineLvl w:val="4"/>
    </w:pPr>
  </w:style>
  <w:style w:type="paragraph" w:styleId="599">
    <w:name w:val="Heading 6"/>
    <w:basedOn w:val="593"/>
    <w:next w:val="593"/>
    <w:link w:val="611"/>
    <w:qFormat/>
    <w:uiPriority w:val="9"/>
    <w:semiHidden/>
    <w:unhideWhenUsed/>
    <w:rPr>
      <w:sz w:val="20"/>
      <w:szCs w:val="20"/>
    </w:rPr>
    <w:pPr>
      <w:keepLines/>
      <w:keepNext/>
      <w:spacing w:after="40" w:before="200"/>
      <w:outlineLvl w:val="5"/>
    </w:pPr>
  </w:style>
  <w:style w:type="paragraph" w:styleId="600">
    <w:name w:val="Heading 7"/>
    <w:basedOn w:val="593"/>
    <w:next w:val="593"/>
    <w:link w:val="612"/>
    <w:qFormat/>
    <w:uiPriority w:val="9"/>
    <w:unhideWhenUsed/>
    <w:rPr>
      <w:rFonts w:ascii="Arial" w:hAnsi="Arial" w:cs="Arial" w:eastAsia="Arial"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01">
    <w:name w:val="Heading 8"/>
    <w:basedOn w:val="593"/>
    <w:next w:val="593"/>
    <w:link w:val="61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02">
    <w:name w:val="Heading 9"/>
    <w:basedOn w:val="593"/>
    <w:next w:val="593"/>
    <w:link w:val="61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character" w:styleId="606" w:customStyle="1">
    <w:name w:val="Heading 1 Char"/>
    <w:basedOn w:val="603"/>
    <w:uiPriority w:val="9"/>
    <w:rPr>
      <w:rFonts w:ascii="Arial" w:hAnsi="Arial" w:cs="Arial" w:eastAsia="Arial"/>
      <w:sz w:val="40"/>
      <w:szCs w:val="40"/>
    </w:rPr>
  </w:style>
  <w:style w:type="character" w:styleId="607" w:customStyle="1">
    <w:name w:val="Titolo 2 Carattere"/>
    <w:basedOn w:val="603"/>
    <w:link w:val="595"/>
    <w:uiPriority w:val="9"/>
    <w:rPr>
      <w:rFonts w:ascii="Arial" w:hAnsi="Arial" w:cs="Arial" w:eastAsia="Arial"/>
      <w:sz w:val="34"/>
    </w:rPr>
  </w:style>
  <w:style w:type="character" w:styleId="608" w:customStyle="1">
    <w:name w:val="Titolo 3 Carattere"/>
    <w:basedOn w:val="603"/>
    <w:link w:val="596"/>
    <w:uiPriority w:val="9"/>
    <w:rPr>
      <w:rFonts w:ascii="Arial" w:hAnsi="Arial" w:cs="Arial" w:eastAsia="Arial"/>
      <w:sz w:val="30"/>
      <w:szCs w:val="30"/>
    </w:rPr>
  </w:style>
  <w:style w:type="character" w:styleId="609" w:customStyle="1">
    <w:name w:val="Heading 4 Char"/>
    <w:basedOn w:val="603"/>
    <w:uiPriority w:val="9"/>
    <w:rPr>
      <w:rFonts w:ascii="Arial" w:hAnsi="Arial" w:cs="Arial" w:eastAsia="Arial"/>
      <w:b/>
      <w:bCs/>
      <w:sz w:val="26"/>
      <w:szCs w:val="26"/>
    </w:rPr>
  </w:style>
  <w:style w:type="character" w:styleId="610" w:customStyle="1">
    <w:name w:val="Titolo 5 Carattere"/>
    <w:basedOn w:val="603"/>
    <w:link w:val="598"/>
    <w:uiPriority w:val="9"/>
    <w:rPr>
      <w:rFonts w:ascii="Arial" w:hAnsi="Arial" w:cs="Arial" w:eastAsia="Arial"/>
      <w:b/>
      <w:bCs/>
      <w:sz w:val="24"/>
      <w:szCs w:val="24"/>
    </w:rPr>
  </w:style>
  <w:style w:type="character" w:styleId="611" w:customStyle="1">
    <w:name w:val="Titolo 6 Carattere"/>
    <w:basedOn w:val="603"/>
    <w:link w:val="599"/>
    <w:uiPriority w:val="9"/>
    <w:rPr>
      <w:rFonts w:ascii="Arial" w:hAnsi="Arial" w:cs="Arial" w:eastAsia="Arial"/>
      <w:b/>
      <w:bCs/>
      <w:sz w:val="22"/>
      <w:szCs w:val="22"/>
    </w:rPr>
  </w:style>
  <w:style w:type="character" w:styleId="612" w:customStyle="1">
    <w:name w:val="Titolo 7 Carattere"/>
    <w:basedOn w:val="603"/>
    <w:link w:val="6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13" w:customStyle="1">
    <w:name w:val="Titolo 8 Carattere"/>
    <w:basedOn w:val="603"/>
    <w:link w:val="601"/>
    <w:uiPriority w:val="9"/>
    <w:rPr>
      <w:rFonts w:ascii="Arial" w:hAnsi="Arial" w:cs="Arial" w:eastAsia="Arial"/>
      <w:i/>
      <w:iCs/>
      <w:sz w:val="22"/>
      <w:szCs w:val="22"/>
    </w:rPr>
  </w:style>
  <w:style w:type="character" w:styleId="614" w:customStyle="1">
    <w:name w:val="Titolo 9 Carattere"/>
    <w:basedOn w:val="603"/>
    <w:link w:val="602"/>
    <w:uiPriority w:val="9"/>
    <w:rPr>
      <w:rFonts w:ascii="Arial" w:hAnsi="Arial" w:cs="Arial" w:eastAsia="Arial"/>
      <w:i/>
      <w:iCs/>
      <w:sz w:val="21"/>
      <w:szCs w:val="21"/>
    </w:rPr>
  </w:style>
  <w:style w:type="paragraph" w:styleId="615">
    <w:name w:val="No Spacing"/>
    <w:qFormat/>
    <w:uiPriority w:val="1"/>
  </w:style>
  <w:style w:type="character" w:styleId="616" w:customStyle="1">
    <w:name w:val="Titolo Carattere"/>
    <w:basedOn w:val="603"/>
    <w:link w:val="768"/>
    <w:uiPriority w:val="10"/>
    <w:rPr>
      <w:sz w:val="48"/>
      <w:szCs w:val="48"/>
    </w:rPr>
  </w:style>
  <w:style w:type="character" w:styleId="617" w:customStyle="1">
    <w:name w:val="Sottotitolo Carattere"/>
    <w:basedOn w:val="603"/>
    <w:link w:val="796"/>
    <w:uiPriority w:val="11"/>
    <w:rPr>
      <w:sz w:val="24"/>
      <w:szCs w:val="24"/>
    </w:rPr>
  </w:style>
  <w:style w:type="paragraph" w:styleId="618">
    <w:name w:val="Quote"/>
    <w:basedOn w:val="593"/>
    <w:next w:val="593"/>
    <w:link w:val="619"/>
    <w:qFormat/>
    <w:uiPriority w:val="29"/>
    <w:rPr>
      <w:i/>
    </w:rPr>
    <w:pPr>
      <w:ind w:left="720" w:right="720"/>
    </w:pPr>
  </w:style>
  <w:style w:type="character" w:styleId="619" w:customStyle="1">
    <w:name w:val="Citazione Carattere"/>
    <w:link w:val="618"/>
    <w:uiPriority w:val="29"/>
    <w:rPr>
      <w:i/>
    </w:rPr>
  </w:style>
  <w:style w:type="paragraph" w:styleId="620">
    <w:name w:val="Intense Quote"/>
    <w:basedOn w:val="593"/>
    <w:next w:val="593"/>
    <w:link w:val="62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21" w:customStyle="1">
    <w:name w:val="Citazione intensa Carattere"/>
    <w:link w:val="620"/>
    <w:uiPriority w:val="30"/>
    <w:rPr>
      <w:i/>
    </w:rPr>
  </w:style>
  <w:style w:type="character" w:styleId="622" w:customStyle="1">
    <w:name w:val="Header Char"/>
    <w:basedOn w:val="603"/>
    <w:uiPriority w:val="99"/>
  </w:style>
  <w:style w:type="character" w:styleId="623" w:customStyle="1">
    <w:name w:val="Footer Char"/>
    <w:basedOn w:val="603"/>
    <w:uiPriority w:val="99"/>
  </w:style>
  <w:style w:type="paragraph" w:styleId="624">
    <w:name w:val="Caption"/>
    <w:basedOn w:val="593"/>
    <w:next w:val="593"/>
    <w:qFormat/>
    <w:uiPriority w:val="35"/>
    <w:semiHidden/>
    <w:unhideWhenUsed/>
    <w:rPr>
      <w:bCs/>
      <w:color w:val="5B9BD5" w:themeColor="accent1"/>
      <w:sz w:val="18"/>
      <w:szCs w:val="18"/>
    </w:rPr>
    <w:pPr>
      <w:spacing w:lineRule="auto" w:line="276"/>
    </w:pPr>
  </w:style>
  <w:style w:type="character" w:styleId="625" w:customStyle="1">
    <w:name w:val="Caption Char"/>
    <w:uiPriority w:val="99"/>
  </w:style>
  <w:style w:type="table" w:styleId="626" w:customStyle="1">
    <w:name w:val="Table Grid Light"/>
    <w:basedOn w:val="60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627">
    <w:name w:val="Plain Table 1"/>
    <w:basedOn w:val="60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28">
    <w:name w:val="Plain Table 2"/>
    <w:basedOn w:val="60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29">
    <w:name w:val="Plain Table 3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30">
    <w:name w:val="Plain Table 4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1">
    <w:name w:val="Plain Table 5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32">
    <w:name w:val="Grid Table 1 Light"/>
    <w:basedOn w:val="60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3" w:customStyle="1">
    <w:name w:val="Grid Table 1 Light - Accent 1"/>
    <w:basedOn w:val="604"/>
    <w:uiPriority w:val="99"/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4" w:customStyle="1">
    <w:name w:val="Grid Table 1 Light - Accent 2"/>
    <w:basedOn w:val="604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5" w:customStyle="1">
    <w:name w:val="Grid Table 1 Light - Accent 3"/>
    <w:basedOn w:val="604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6" w:customStyle="1">
    <w:name w:val="Grid Table 1 Light - Accent 4"/>
    <w:basedOn w:val="604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7" w:customStyle="1">
    <w:name w:val="Grid Table 1 Light - Accent 5"/>
    <w:basedOn w:val="604"/>
    <w:uiPriority w:val="99"/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8" w:customStyle="1">
    <w:name w:val="Grid Table 1 Light - Accent 6"/>
    <w:basedOn w:val="604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9">
    <w:name w:val="Grid Table 2"/>
    <w:basedOn w:val="60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40" w:customStyle="1">
    <w:name w:val="Grid Table 2 - Accent 1"/>
    <w:basedOn w:val="604"/>
    <w:uiPriority w:val="99"/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41" w:customStyle="1">
    <w:name w:val="Grid Table 2 - Accent 2"/>
    <w:basedOn w:val="604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42" w:customStyle="1">
    <w:name w:val="Grid Table 2 - Accent 3"/>
    <w:basedOn w:val="604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3" w:customStyle="1">
    <w:name w:val="Grid Table 2 - Accent 4"/>
    <w:basedOn w:val="604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44" w:customStyle="1">
    <w:name w:val="Grid Table 2 - Accent 5"/>
    <w:basedOn w:val="604"/>
    <w:uiPriority w:val="99"/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5" w:customStyle="1">
    <w:name w:val="Grid Table 2 - Accent 6"/>
    <w:basedOn w:val="604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46">
    <w:name w:val="Grid Table 3"/>
    <w:basedOn w:val="60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7" w:customStyle="1">
    <w:name w:val="Grid Table 3 - Accent 1"/>
    <w:basedOn w:val="604"/>
    <w:uiPriority w:val="99"/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8" w:customStyle="1">
    <w:name w:val="Grid Table 3 - Accent 2"/>
    <w:basedOn w:val="604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9" w:customStyle="1">
    <w:name w:val="Grid Table 3 - Accent 3"/>
    <w:basedOn w:val="604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0" w:customStyle="1">
    <w:name w:val="Grid Table 3 - Accent 4"/>
    <w:basedOn w:val="604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1" w:customStyle="1">
    <w:name w:val="Grid Table 3 - Accent 5"/>
    <w:basedOn w:val="604"/>
    <w:uiPriority w:val="99"/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2" w:customStyle="1">
    <w:name w:val="Grid Table 3 - Accent 6"/>
    <w:basedOn w:val="604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3">
    <w:name w:val="Grid Table 4"/>
    <w:basedOn w:val="60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54" w:customStyle="1">
    <w:name w:val="Grid Table 4 - Accent 1"/>
    <w:basedOn w:val="604"/>
    <w:uiPriority w:val="59"/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 w:themeFill="accent1" w:themeFill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655" w:customStyle="1">
    <w:name w:val="Grid Table 4 - Accent 2"/>
    <w:basedOn w:val="604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656" w:customStyle="1">
    <w:name w:val="Grid Table 4 - Accent 3"/>
    <w:basedOn w:val="604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657" w:customStyle="1">
    <w:name w:val="Grid Table 4 - Accent 4"/>
    <w:basedOn w:val="604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658" w:customStyle="1">
    <w:name w:val="Grid Table 4 - Accent 5"/>
    <w:basedOn w:val="604"/>
    <w:uiPriority w:val="59"/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659" w:customStyle="1">
    <w:name w:val="Grid Table 4 - Accent 6"/>
    <w:basedOn w:val="604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660">
    <w:name w:val="Grid Table 5 Dark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61" w:customStyle="1">
    <w:name w:val="Grid Table 5 Dark- Accent 1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DEAF6" w:themeFill="accent1" w:themeFillTint="34"/>
    </w:tblPr>
    <w:tblStylePr w:type="band1Horz">
      <w:tcPr>
        <w:shd w:val="clear" w:color="auto" w:fill="B3D0EB" w:themeFill="accent1" w:themeFillTint="75"/>
      </w:tcPr>
    </w:tblStylePr>
    <w:tblStylePr w:type="band1Vert">
      <w:tcPr>
        <w:shd w:val="clear" w:color="auto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1"/>
        <w:tcBorders>
          <w:top w:val="single" w:color="FFFFFF" w:sz="4" w:space="0" w:themeColor="light1"/>
        </w:tcBorders>
      </w:tcPr>
    </w:tblStylePr>
  </w:style>
  <w:style w:type="table" w:styleId="662" w:customStyle="1">
    <w:name w:val="Grid Table 5 Dark - Accent 2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sz="4" w:space="0" w:themeColor="light1"/>
        </w:tcBorders>
      </w:tcPr>
    </w:tblStylePr>
  </w:style>
  <w:style w:type="table" w:styleId="663" w:customStyle="1">
    <w:name w:val="Grid Table 5 Dark - Accent 3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sz="4" w:space="0" w:themeColor="light1"/>
        </w:tcBorders>
      </w:tcPr>
    </w:tblStylePr>
  </w:style>
  <w:style w:type="table" w:styleId="664" w:customStyle="1">
    <w:name w:val="Grid Table 5 Dark- Accent 4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sz="4" w:space="0" w:themeColor="light1"/>
        </w:tcBorders>
      </w:tcPr>
    </w:tblStylePr>
  </w:style>
  <w:style w:type="table" w:styleId="665" w:customStyle="1">
    <w:name w:val="Grid Table 5 Dark - Accent 5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8E2F3" w:themeFill="accent5" w:themeFillTint="34"/>
    </w:tblPr>
    <w:tblStylePr w:type="band1Horz">
      <w:tcPr>
        <w:shd w:val="clear" w:color="auto" w:fill="A9BEE4" w:themeFill="accent5" w:themeFillTint="75"/>
      </w:tcPr>
    </w:tblStylePr>
    <w:tblStylePr w:type="band1Vert">
      <w:tcPr>
        <w:shd w:val="clear" w:color="auto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top w:val="single" w:color="FFFFFF" w:sz="4" w:space="0" w:themeColor="light1"/>
        </w:tcBorders>
      </w:tcPr>
    </w:tblStylePr>
  </w:style>
  <w:style w:type="table" w:styleId="666" w:customStyle="1">
    <w:name w:val="Grid Table 5 Dark - Accent 6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sz="4" w:space="0" w:themeColor="light1"/>
        </w:tcBorders>
      </w:tcPr>
    </w:tblStylePr>
  </w:style>
  <w:style w:type="table" w:styleId="667">
    <w:name w:val="Grid Table 6 Colorful"/>
    <w:basedOn w:val="60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68" w:customStyle="1">
    <w:name w:val="Grid Table 6 Colorful - Accent 1"/>
    <w:basedOn w:val="604"/>
    <w:uiPriority w:val="99"/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669" w:customStyle="1">
    <w:name w:val="Grid Table 6 Colorful - Accent 2"/>
    <w:basedOn w:val="604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670" w:customStyle="1">
    <w:name w:val="Grid Table 6 Colorful - Accent 3"/>
    <w:basedOn w:val="604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671" w:customStyle="1">
    <w:name w:val="Grid Table 6 Colorful - Accent 4"/>
    <w:basedOn w:val="604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672" w:customStyle="1">
    <w:name w:val="Grid Table 6 Colorful - Accent 5"/>
    <w:basedOn w:val="604"/>
    <w:uiPriority w:val="99"/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673" w:customStyle="1">
    <w:name w:val="Grid Table 6 Colorful - Accent 6"/>
    <w:basedOn w:val="604"/>
    <w:uiPriority w:val="99"/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674">
    <w:name w:val="Grid Table 7 Colorful"/>
    <w:basedOn w:val="60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75" w:customStyle="1">
    <w:name w:val="Grid Table 7 Colorful - Accent 1"/>
    <w:basedOn w:val="604"/>
    <w:uiPriority w:val="99"/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76" w:customStyle="1">
    <w:name w:val="Grid Table 7 Colorful - Accent 2"/>
    <w:basedOn w:val="604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77" w:customStyle="1">
    <w:name w:val="Grid Table 7 Colorful - Accent 3"/>
    <w:basedOn w:val="604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78" w:customStyle="1">
    <w:name w:val="Grid Table 7 Colorful - Accent 4"/>
    <w:basedOn w:val="604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79" w:customStyle="1">
    <w:name w:val="Grid Table 7 Colorful - Accent 5"/>
    <w:basedOn w:val="604"/>
    <w:uiPriority w:val="99"/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80" w:customStyle="1">
    <w:name w:val="Grid Table 7 Colorful - Accent 6"/>
    <w:basedOn w:val="604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List Table 1 Light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82" w:customStyle="1">
    <w:name w:val="List Table 1 Light - Accent 1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83" w:customStyle="1">
    <w:name w:val="List Table 1 Light - Accent 2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84" w:customStyle="1">
    <w:name w:val="List Table 1 Light - Accent 3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85" w:customStyle="1">
    <w:name w:val="List Table 1 Light - Accent 4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86" w:customStyle="1">
    <w:name w:val="List Table 1 Light - Accent 5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7" w:customStyle="1">
    <w:name w:val="List Table 1 Light - Accent 6"/>
    <w:basedOn w:val="604"/>
    <w:uiPriority w:val="99"/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List Table 2"/>
    <w:basedOn w:val="60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689" w:customStyle="1">
    <w:name w:val="List Table 2 - Accent 1"/>
    <w:basedOn w:val="604"/>
    <w:uiPriority w:val="99"/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690" w:customStyle="1">
    <w:name w:val="List Table 2 - Accent 2"/>
    <w:basedOn w:val="604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691" w:customStyle="1">
    <w:name w:val="List Table 2 - Accent 3"/>
    <w:basedOn w:val="604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692" w:customStyle="1">
    <w:name w:val="List Table 2 - Accent 4"/>
    <w:basedOn w:val="604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693" w:customStyle="1">
    <w:name w:val="List Table 2 - Accent 5"/>
    <w:basedOn w:val="604"/>
    <w:uiPriority w:val="99"/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694" w:customStyle="1">
    <w:name w:val="List Table 2 - Accent 6"/>
    <w:basedOn w:val="604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695">
    <w:name w:val="List Table 3"/>
    <w:basedOn w:val="60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List Table 3 - Accent 1"/>
    <w:basedOn w:val="604"/>
    <w:uiPriority w:val="99"/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List Table 3 - Accent 2"/>
    <w:basedOn w:val="604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List Table 3 - Accent 3"/>
    <w:basedOn w:val="604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List Table 3 - Accent 4"/>
    <w:basedOn w:val="604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List Table 3 - Accent 5"/>
    <w:basedOn w:val="604"/>
    <w:uiPriority w:val="99"/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List Table 3 - Accent 6"/>
    <w:basedOn w:val="604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List Table 4"/>
    <w:basedOn w:val="60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List Table 4 - Accent 1"/>
    <w:basedOn w:val="604"/>
    <w:uiPriority w:val="99"/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List Table 4 - Accent 2"/>
    <w:basedOn w:val="604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List Table 4 - Accent 3"/>
    <w:basedOn w:val="604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List Table 4 - Accent 4"/>
    <w:basedOn w:val="604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List Table 4 - Accent 5"/>
    <w:basedOn w:val="604"/>
    <w:uiPriority w:val="99"/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List Table 4 - Accent 6"/>
    <w:basedOn w:val="604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5 Dark"/>
    <w:basedOn w:val="60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0" w:customStyle="1">
    <w:name w:val="List Table 5 Dark - Accent 1"/>
    <w:basedOn w:val="604"/>
    <w:uiPriority w:val="99"/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auto" w:fill="5B9BD5" w:themeFill="accent1"/>
    </w:tblPr>
    <w:tblStylePr w:type="band1Horz">
      <w:tcPr>
        <w:shd w:val="clear" w:color="auto" w:fill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5B9BD5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 w:themeFill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 w:customStyle="1">
    <w:name w:val="List Table 5 Dark - Accent 2"/>
    <w:basedOn w:val="604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2" w:customStyle="1">
    <w:name w:val="List Table 5 Dark - Accent 3"/>
    <w:basedOn w:val="604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3" w:customStyle="1">
    <w:name w:val="List Table 5 Dark - Accent 4"/>
    <w:basedOn w:val="604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4" w:customStyle="1">
    <w:name w:val="List Table 5 Dark - Accent 5"/>
    <w:basedOn w:val="604"/>
    <w:uiPriority w:val="99"/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auto" w:fill="8DA9DB" w:themeFill="accent5" w:themeFillTint="9A"/>
    </w:tblPr>
    <w:tblStylePr w:type="band1Horz">
      <w:tcPr>
        <w:shd w:val="clear" w:color="auto" w:fill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8DA9DB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 w:themeFill="accent5" w:themeFill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5" w:customStyle="1">
    <w:name w:val="List Table 5 Dark - Accent 6"/>
    <w:basedOn w:val="604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6">
    <w:name w:val="List Table 6 Colorful"/>
    <w:basedOn w:val="60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17" w:customStyle="1">
    <w:name w:val="List Table 6 Colorful - Accent 1"/>
    <w:basedOn w:val="604"/>
    <w:uiPriority w:val="99"/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718" w:customStyle="1">
    <w:name w:val="List Table 6 Colorful - Accent 2"/>
    <w:basedOn w:val="604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719" w:customStyle="1">
    <w:name w:val="List Table 6 Colorful - Accent 3"/>
    <w:basedOn w:val="604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720" w:customStyle="1">
    <w:name w:val="List Table 6 Colorful - Accent 4"/>
    <w:basedOn w:val="604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721" w:customStyle="1">
    <w:name w:val="List Table 6 Colorful - Accent 5"/>
    <w:basedOn w:val="604"/>
    <w:uiPriority w:val="99"/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722" w:customStyle="1">
    <w:name w:val="List Table 6 Colorful - Accent 6"/>
    <w:basedOn w:val="604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723">
    <w:name w:val="List Table 7 Colorful"/>
    <w:basedOn w:val="60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List Table 7 Colorful - Accent 1"/>
    <w:basedOn w:val="604"/>
    <w:uiPriority w:val="99"/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List Table 7 Colorful - Accent 2"/>
    <w:basedOn w:val="604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List Table 7 Colorful - Accent 3"/>
    <w:basedOn w:val="604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27" w:customStyle="1">
    <w:name w:val="List Table 7 Colorful - Accent 4"/>
    <w:basedOn w:val="604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8" w:customStyle="1">
    <w:name w:val="List Table 7 Colorful - Accent 5"/>
    <w:basedOn w:val="604"/>
    <w:uiPriority w:val="99"/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29" w:customStyle="1">
    <w:name w:val="List Table 7 Colorful - Accent 6"/>
    <w:basedOn w:val="604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30" w:customStyle="1">
    <w:name w:val="Lined - Accent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31" w:customStyle="1">
    <w:name w:val="Lined - Accent 1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732" w:customStyle="1">
    <w:name w:val="Lined - Accent 2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733" w:customStyle="1">
    <w:name w:val="Lined - Accent 3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734" w:customStyle="1">
    <w:name w:val="Lined - Accent 4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735" w:customStyle="1">
    <w:name w:val="Lined - Accent 5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736" w:customStyle="1">
    <w:name w:val="Lined - Accent 6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737" w:customStyle="1">
    <w:name w:val="Bordered &amp; Lined - Accent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38" w:customStyle="1">
    <w:name w:val="Bordered &amp; Lined - Accent 1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739" w:customStyle="1">
    <w:name w:val="Bordered &amp; Lined - Accent 2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740" w:customStyle="1">
    <w:name w:val="Bordered &amp; Lined - Accent 3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741" w:customStyle="1">
    <w:name w:val="Bordered &amp; Lined - Accent 4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742" w:customStyle="1">
    <w:name w:val="Bordered &amp; Lined - Accent 5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743" w:customStyle="1">
    <w:name w:val="Bordered &amp; Lined - Accent 6"/>
    <w:basedOn w:val="604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744" w:customStyle="1">
    <w:name w:val="Bordered"/>
    <w:basedOn w:val="60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745" w:customStyle="1">
    <w:name w:val="Bordered - Accent 1"/>
    <w:basedOn w:val="604"/>
    <w:uiPriority w:val="99"/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746" w:customStyle="1">
    <w:name w:val="Bordered - Accent 2"/>
    <w:basedOn w:val="604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747" w:customStyle="1">
    <w:name w:val="Bordered - Accent 3"/>
    <w:basedOn w:val="604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748" w:customStyle="1">
    <w:name w:val="Bordered - Accent 4"/>
    <w:basedOn w:val="604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749" w:customStyle="1">
    <w:name w:val="Bordered - Accent 5"/>
    <w:basedOn w:val="604"/>
    <w:uiPriority w:val="99"/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750" w:customStyle="1">
    <w:name w:val="Bordered - Accent 6"/>
    <w:basedOn w:val="604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paragraph" w:styleId="751">
    <w:name w:val="footnote text"/>
    <w:basedOn w:val="593"/>
    <w:link w:val="752"/>
    <w:uiPriority w:val="99"/>
    <w:semiHidden/>
    <w:unhideWhenUsed/>
    <w:rPr>
      <w:sz w:val="18"/>
    </w:rPr>
    <w:pPr>
      <w:spacing w:after="40"/>
    </w:pPr>
  </w:style>
  <w:style w:type="character" w:styleId="752" w:customStyle="1">
    <w:name w:val="Testo nota a piè di pagina Carattere"/>
    <w:link w:val="751"/>
    <w:uiPriority w:val="99"/>
    <w:rPr>
      <w:sz w:val="18"/>
    </w:rPr>
  </w:style>
  <w:style w:type="character" w:styleId="753">
    <w:name w:val="footnote reference"/>
    <w:basedOn w:val="603"/>
    <w:uiPriority w:val="99"/>
    <w:unhideWhenUsed/>
    <w:rPr>
      <w:vertAlign w:val="superscript"/>
    </w:rPr>
  </w:style>
  <w:style w:type="paragraph" w:styleId="754">
    <w:name w:val="endnote text"/>
    <w:basedOn w:val="593"/>
    <w:link w:val="755"/>
    <w:uiPriority w:val="99"/>
    <w:semiHidden/>
    <w:unhideWhenUsed/>
    <w:rPr>
      <w:sz w:val="20"/>
    </w:rPr>
  </w:style>
  <w:style w:type="character" w:styleId="755" w:customStyle="1">
    <w:name w:val="Testo nota di chiusura Carattere"/>
    <w:link w:val="754"/>
    <w:uiPriority w:val="99"/>
    <w:rPr>
      <w:sz w:val="20"/>
    </w:rPr>
  </w:style>
  <w:style w:type="character" w:styleId="756">
    <w:name w:val="endnote reference"/>
    <w:basedOn w:val="603"/>
    <w:uiPriority w:val="99"/>
    <w:semiHidden/>
    <w:unhideWhenUsed/>
    <w:rPr>
      <w:vertAlign w:val="superscript"/>
    </w:rPr>
  </w:style>
  <w:style w:type="paragraph" w:styleId="757">
    <w:name w:val="toc 1"/>
    <w:basedOn w:val="593"/>
    <w:next w:val="593"/>
    <w:uiPriority w:val="39"/>
    <w:unhideWhenUsed/>
    <w:pPr>
      <w:spacing w:after="57"/>
    </w:pPr>
  </w:style>
  <w:style w:type="paragraph" w:styleId="758">
    <w:name w:val="toc 2"/>
    <w:basedOn w:val="593"/>
    <w:next w:val="593"/>
    <w:uiPriority w:val="39"/>
    <w:unhideWhenUsed/>
    <w:pPr>
      <w:ind w:left="283"/>
      <w:spacing w:after="57"/>
    </w:pPr>
  </w:style>
  <w:style w:type="paragraph" w:styleId="759">
    <w:name w:val="toc 3"/>
    <w:basedOn w:val="593"/>
    <w:next w:val="593"/>
    <w:uiPriority w:val="39"/>
    <w:unhideWhenUsed/>
    <w:pPr>
      <w:ind w:left="567"/>
      <w:spacing w:after="57"/>
    </w:pPr>
  </w:style>
  <w:style w:type="paragraph" w:styleId="760">
    <w:name w:val="toc 4"/>
    <w:basedOn w:val="593"/>
    <w:next w:val="593"/>
    <w:uiPriority w:val="39"/>
    <w:unhideWhenUsed/>
    <w:pPr>
      <w:ind w:left="850"/>
      <w:spacing w:after="57"/>
    </w:pPr>
  </w:style>
  <w:style w:type="paragraph" w:styleId="761">
    <w:name w:val="toc 5"/>
    <w:basedOn w:val="593"/>
    <w:next w:val="593"/>
    <w:uiPriority w:val="39"/>
    <w:unhideWhenUsed/>
    <w:pPr>
      <w:ind w:left="1134"/>
      <w:spacing w:after="57"/>
    </w:pPr>
  </w:style>
  <w:style w:type="paragraph" w:styleId="762">
    <w:name w:val="toc 6"/>
    <w:basedOn w:val="593"/>
    <w:next w:val="593"/>
    <w:uiPriority w:val="39"/>
    <w:unhideWhenUsed/>
    <w:pPr>
      <w:ind w:left="1417"/>
      <w:spacing w:after="57"/>
    </w:pPr>
  </w:style>
  <w:style w:type="paragraph" w:styleId="763">
    <w:name w:val="toc 7"/>
    <w:basedOn w:val="593"/>
    <w:next w:val="593"/>
    <w:uiPriority w:val="39"/>
    <w:unhideWhenUsed/>
    <w:pPr>
      <w:ind w:left="1701"/>
      <w:spacing w:after="57"/>
    </w:pPr>
  </w:style>
  <w:style w:type="paragraph" w:styleId="764">
    <w:name w:val="toc 8"/>
    <w:basedOn w:val="593"/>
    <w:next w:val="593"/>
    <w:uiPriority w:val="39"/>
    <w:unhideWhenUsed/>
    <w:pPr>
      <w:ind w:left="1984"/>
      <w:spacing w:after="57"/>
    </w:pPr>
  </w:style>
  <w:style w:type="paragraph" w:styleId="765">
    <w:name w:val="toc 9"/>
    <w:basedOn w:val="593"/>
    <w:next w:val="593"/>
    <w:uiPriority w:val="39"/>
    <w:unhideWhenUsed/>
    <w:pPr>
      <w:ind w:left="2268"/>
      <w:spacing w:after="57"/>
    </w:pPr>
  </w:style>
  <w:style w:type="paragraph" w:styleId="766">
    <w:name w:val="TOC Heading"/>
    <w:uiPriority w:val="39"/>
    <w:unhideWhenUsed/>
  </w:style>
  <w:style w:type="table" w:styleId="76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68">
    <w:name w:val="Title"/>
    <w:basedOn w:val="593"/>
    <w:next w:val="593"/>
    <w:link w:val="616"/>
    <w:qFormat/>
    <w:uiPriority w:val="10"/>
    <w:rPr>
      <w:sz w:val="72"/>
      <w:szCs w:val="72"/>
    </w:rPr>
    <w:pPr>
      <w:keepLines/>
      <w:keepNext/>
      <w:spacing w:after="120" w:before="480"/>
    </w:pPr>
  </w:style>
  <w:style w:type="table" w:styleId="76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70">
    <w:name w:val="Header"/>
    <w:basedOn w:val="593"/>
    <w:link w:val="771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771" w:customStyle="1">
    <w:name w:val="Intestazione Carattere"/>
    <w:basedOn w:val="603"/>
    <w:link w:val="770"/>
    <w:uiPriority w:val="99"/>
  </w:style>
  <w:style w:type="paragraph" w:styleId="772">
    <w:name w:val="Footer"/>
    <w:basedOn w:val="593"/>
    <w:link w:val="773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773" w:customStyle="1">
    <w:name w:val="Piè di pagina Carattere"/>
    <w:basedOn w:val="603"/>
    <w:link w:val="772"/>
    <w:uiPriority w:val="99"/>
  </w:style>
  <w:style w:type="paragraph" w:styleId="774">
    <w:name w:val="Balloon Text"/>
    <w:basedOn w:val="593"/>
    <w:link w:val="775"/>
    <w:uiPriority w:val="99"/>
    <w:semiHidden/>
    <w:unhideWhenUsed/>
    <w:rPr>
      <w:rFonts w:ascii="Segoe UI" w:hAnsi="Segoe UI" w:cs="Segoe UI" w:eastAsia="Calibri"/>
      <w:b w:val="false"/>
      <w:sz w:val="18"/>
      <w:szCs w:val="18"/>
      <w:lang w:eastAsia="en-US"/>
    </w:rPr>
    <w:pPr>
      <w:jc w:val="both"/>
    </w:pPr>
  </w:style>
  <w:style w:type="character" w:styleId="775" w:customStyle="1">
    <w:name w:val="Testo fumetto Carattere"/>
    <w:basedOn w:val="603"/>
    <w:link w:val="774"/>
    <w:uiPriority w:val="99"/>
    <w:semiHidden/>
    <w:rPr>
      <w:rFonts w:ascii="Segoe UI" w:hAnsi="Segoe UI" w:cs="Segoe UI"/>
      <w:sz w:val="18"/>
      <w:szCs w:val="18"/>
    </w:rPr>
  </w:style>
  <w:style w:type="character" w:styleId="776" w:customStyle="1">
    <w:name w:val="Titolo 1 Carattere"/>
    <w:basedOn w:val="603"/>
    <w:link w:val="594"/>
    <w:uiPriority w:val="9"/>
    <w:rPr>
      <w:sz w:val="28"/>
      <w:szCs w:val="28"/>
    </w:rPr>
  </w:style>
  <w:style w:type="table" w:styleId="777">
    <w:name w:val="Table Grid"/>
    <w:basedOn w:val="604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78">
    <w:name w:val="Grid Table 4 Accent 3"/>
    <w:basedOn w:val="604"/>
    <w:uiPriority w:val="49"/>
    <w:tblPr>
      <w:tblStyleRowBandSize w:val="1"/>
      <w:tblStyleColBandSize w:val="1"/>
      <w:tblBorders>
        <w:left w:val="single" w:color="C9C9C9" w:sz="4" w:space="0" w:themeColor="accent3" w:themeTint="99"/>
        <w:top w:val="single" w:color="C9C9C9" w:sz="4" w:space="0" w:themeColor="accent3" w:themeTint="99"/>
        <w:right w:val="single" w:color="C9C9C9" w:sz="4" w:space="0" w:themeColor="accent3" w:themeTint="99"/>
        <w:bottom w:val="single" w:color="C9C9C9" w:sz="4" w:space="0" w:themeColor="accent3" w:themeTint="99"/>
        <w:insideV w:val="single" w:color="C9C9C9" w:sz="4" w:space="0" w:themeColor="accent3" w:themeTint="99"/>
        <w:insideH w:val="single" w:color="C9C9C9" w:sz="4" w:space="0" w:themeColor="accent3" w:themeTint="99"/>
      </w:tblBorders>
    </w:tblPr>
    <w:tblStylePr w:type="band1Horz">
      <w:tcPr>
        <w:shd w:val="clear" w:color="auto" w:fill="EDEDED" w:themeFill="accent3" w:themeFillTint="33"/>
      </w:tcPr>
    </w:tblStylePr>
    <w:tblStylePr w:type="band1Vert">
      <w:tcPr>
        <w:shd w:val="clear" w:color="auto" w:fill="EDEDED" w:themeFill="accent3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A5A5A5" w:themeFill="accent3"/>
        <w:tcBorders>
          <w:left w:val="single" w:color="A5A5A5" w:sz="4" w:space="0" w:themeColor="accent3"/>
          <w:top w:val="single" w:color="A5A5A5" w:sz="4" w:space="0" w:themeColor="accent3"/>
          <w:right w:val="single" w:color="A5A5A5" w:sz="4" w:space="0" w:themeColor="accent3"/>
          <w:bottom w:val="single" w:color="A5A5A5" w:sz="4" w:space="0" w:themeColor="accent3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 w:themeColor="accent3"/>
        </w:tcBorders>
      </w:tcPr>
    </w:tblStylePr>
  </w:style>
  <w:style w:type="table" w:styleId="779">
    <w:name w:val="Grid Table 4 Accent 2"/>
    <w:basedOn w:val="604"/>
    <w:uiPriority w:val="49"/>
    <w:tblPr>
      <w:tblStyleRowBandSize w:val="1"/>
      <w:tblStyleColBandSize w:val="1"/>
      <w:tblBorders>
        <w:left w:val="single" w:color="F4B083" w:sz="4" w:space="0" w:themeColor="accent2" w:themeTint="99"/>
        <w:top w:val="single" w:color="F4B083" w:sz="4" w:space="0" w:themeColor="accent2" w:themeTint="99"/>
        <w:right w:val="single" w:color="F4B083" w:sz="4" w:space="0" w:themeColor="accent2" w:themeTint="99"/>
        <w:bottom w:val="single" w:color="F4B083" w:sz="4" w:space="0" w:themeColor="accent2" w:themeTint="99"/>
        <w:insideV w:val="single" w:color="F4B083" w:sz="4" w:space="0" w:themeColor="accent2" w:themeTint="99"/>
        <w:insideH w:val="single" w:color="F4B083" w:sz="4" w:space="0" w:themeColor="accent2" w:themeTint="99"/>
      </w:tblBorders>
    </w:tblPr>
    <w:tblStylePr w:type="band1Horz">
      <w:tcPr>
        <w:shd w:val="clear" w:color="auto" w:fill="FBE4D5" w:themeFill="accent2" w:themeFillTint="33"/>
      </w:tcPr>
    </w:tblStylePr>
    <w:tblStylePr w:type="band1Vert">
      <w:tcPr>
        <w:shd w:val="clear" w:color="auto" w:fill="FBE4D5" w:themeFill="accent2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ED7D31" w:themeFill="accent2"/>
        <w:tcBorders>
          <w:left w:val="single" w:color="ED7D31" w:sz="4" w:space="0" w:themeColor="accent2"/>
          <w:top w:val="single" w:color="ED7D31" w:sz="4" w:space="0" w:themeColor="accent2"/>
          <w:right w:val="single" w:color="ED7D31" w:sz="4" w:space="0" w:themeColor="accent2"/>
          <w:bottom w:val="single" w:color="ED7D31" w:sz="4" w:space="0" w:themeColor="accent2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ED7D31" w:sz="4" w:space="0" w:themeColor="accent2"/>
        </w:tcBorders>
      </w:tcPr>
    </w:tblStylePr>
  </w:style>
  <w:style w:type="paragraph" w:styleId="780">
    <w:name w:val="List Paragraph"/>
    <w:basedOn w:val="593"/>
    <w:link w:val="793"/>
    <w:qFormat/>
    <w:uiPriority w:val="34"/>
    <w:rPr>
      <w:rFonts w:ascii="Calibri" w:hAnsi="Calibri" w:eastAsia="Calibri"/>
      <w:b w:val="false"/>
      <w:lang w:eastAsia="en-US"/>
    </w:rPr>
    <w:pPr>
      <w:contextualSpacing w:val="true"/>
      <w:ind w:left="720"/>
      <w:jc w:val="both"/>
    </w:pPr>
  </w:style>
  <w:style w:type="paragraph" w:styleId="781" w:customStyle="1">
    <w:name w:val="Table Paragraph"/>
    <w:basedOn w:val="593"/>
    <w:qFormat/>
    <w:uiPriority w:val="1"/>
    <w:rPr>
      <w:rFonts w:ascii="Calibri" w:hAnsi="Calibri" w:cs="Calibri" w:eastAsia="Calibri"/>
      <w:sz w:val="22"/>
      <w:szCs w:val="22"/>
      <w:lang w:val="en-US" w:eastAsia="en-US"/>
    </w:rPr>
    <w:pPr>
      <w:ind w:left="107"/>
      <w:widowControl w:val="off"/>
    </w:pPr>
  </w:style>
  <w:style w:type="character" w:styleId="782">
    <w:name w:val="annotation reference"/>
    <w:basedOn w:val="603"/>
    <w:uiPriority w:val="99"/>
    <w:semiHidden/>
    <w:unhideWhenUsed/>
    <w:rPr>
      <w:sz w:val="16"/>
      <w:szCs w:val="16"/>
    </w:rPr>
  </w:style>
  <w:style w:type="paragraph" w:styleId="783">
    <w:name w:val="annotation text"/>
    <w:basedOn w:val="593"/>
    <w:link w:val="784"/>
    <w:uiPriority w:val="99"/>
    <w:semiHidden/>
    <w:unhideWhenUsed/>
    <w:rPr>
      <w:rFonts w:ascii="Calibri" w:hAnsi="Calibri" w:eastAsia="Calibri"/>
      <w:b w:val="false"/>
      <w:sz w:val="20"/>
      <w:szCs w:val="20"/>
      <w:lang w:eastAsia="en-US"/>
    </w:rPr>
    <w:pPr>
      <w:jc w:val="both"/>
    </w:pPr>
  </w:style>
  <w:style w:type="character" w:styleId="784" w:customStyle="1">
    <w:name w:val="Testo commento Carattere"/>
    <w:basedOn w:val="603"/>
    <w:link w:val="783"/>
    <w:uiPriority w:val="99"/>
    <w:semiHidden/>
    <w:rPr>
      <w:sz w:val="20"/>
      <w:szCs w:val="20"/>
    </w:rPr>
  </w:style>
  <w:style w:type="paragraph" w:styleId="785">
    <w:name w:val="annotation subject"/>
    <w:basedOn w:val="783"/>
    <w:next w:val="783"/>
    <w:link w:val="786"/>
    <w:uiPriority w:val="99"/>
    <w:semiHidden/>
    <w:unhideWhenUsed/>
    <w:rPr>
      <w:bCs/>
    </w:rPr>
  </w:style>
  <w:style w:type="character" w:styleId="786" w:customStyle="1">
    <w:name w:val="Soggetto commento Carattere"/>
    <w:basedOn w:val="784"/>
    <w:link w:val="785"/>
    <w:uiPriority w:val="99"/>
    <w:semiHidden/>
    <w:rPr>
      <w:bCs/>
      <w:sz w:val="20"/>
      <w:szCs w:val="20"/>
    </w:rPr>
  </w:style>
  <w:style w:type="character" w:styleId="787">
    <w:name w:val="Hyperlink"/>
    <w:basedOn w:val="603"/>
    <w:uiPriority w:val="99"/>
    <w:unhideWhenUsed/>
    <w:rPr>
      <w:color w:val="0563C1" w:themeColor="hyperlink"/>
      <w:u w:val="single"/>
    </w:rPr>
  </w:style>
  <w:style w:type="character" w:styleId="788" w:customStyle="1">
    <w:name w:val="Menzione non risolta1"/>
    <w:basedOn w:val="603"/>
    <w:uiPriority w:val="99"/>
    <w:semiHidden/>
    <w:unhideWhenUsed/>
    <w:rPr>
      <w:color w:val="605E5C"/>
      <w:shd w:val="clear" w:color="auto" w:fill="E1DFDD"/>
    </w:rPr>
  </w:style>
  <w:style w:type="paragraph" w:styleId="789">
    <w:name w:val="Revision"/>
    <w:uiPriority w:val="99"/>
    <w:hidden/>
    <w:semiHidden/>
  </w:style>
  <w:style w:type="character" w:styleId="790" w:customStyle="1">
    <w:name w:val="Titolo 4 Carattere"/>
    <w:basedOn w:val="603"/>
    <w:link w:val="597"/>
    <w:uiPriority w:val="9"/>
    <w:semiHidden/>
    <w:rPr>
      <w:rFonts w:ascii="Calibri Light" w:hAnsi="Calibri Light" w:cs="Calibri Light" w:eastAsia="Calibri Light"/>
      <w:b/>
      <w:i/>
      <w:iCs/>
      <w:color w:val="2E74B5" w:themeColor="accent1" w:themeShade="BF"/>
      <w:lang w:eastAsia="it-IT"/>
    </w:rPr>
  </w:style>
  <w:style w:type="character" w:styleId="791">
    <w:name w:val="FollowedHyperlink"/>
    <w:basedOn w:val="603"/>
    <w:uiPriority w:val="99"/>
    <w:semiHidden/>
    <w:unhideWhenUsed/>
    <w:rPr>
      <w:color w:val="954F72" w:themeColor="followedHyperlink"/>
      <w:u w:val="single"/>
    </w:rPr>
  </w:style>
  <w:style w:type="character" w:styleId="792" w:customStyle="1">
    <w:name w:val="tlid-translation"/>
    <w:basedOn w:val="603"/>
  </w:style>
  <w:style w:type="character" w:styleId="793" w:customStyle="1">
    <w:name w:val="Paragrafo elenco Carattere"/>
    <w:basedOn w:val="603"/>
    <w:link w:val="780"/>
    <w:qFormat/>
    <w:uiPriority w:val="34"/>
  </w:style>
  <w:style w:type="paragraph" w:styleId="794" w:customStyle="1">
    <w:name w:val="Evidenziato"/>
    <w:basedOn w:val="593"/>
    <w:link w:val="795"/>
    <w:qFormat/>
    <w:rPr>
      <w:rFonts w:ascii="Candara" w:hAnsi="Candara" w:eastAsia="Calibri"/>
      <w:color w:val="0091DC"/>
      <w:sz w:val="22"/>
      <w:szCs w:val="22"/>
      <w:lang w:eastAsia="en-US"/>
    </w:rPr>
    <w:pPr>
      <w:jc w:val="both"/>
      <w:spacing w:lineRule="auto" w:line="276" w:before="240"/>
      <w:widowControl w:val="off"/>
    </w:pPr>
  </w:style>
  <w:style w:type="character" w:styleId="795" w:customStyle="1">
    <w:name w:val="Evidenziato Carattere"/>
    <w:basedOn w:val="603"/>
    <w:link w:val="794"/>
    <w:rPr>
      <w:rFonts w:ascii="Candara" w:hAnsi="Candara" w:eastAsia="Calibri"/>
      <w:b/>
      <w:color w:val="0091DC"/>
      <w:sz w:val="22"/>
      <w:szCs w:val="22"/>
    </w:rPr>
  </w:style>
  <w:style w:type="paragraph" w:styleId="796">
    <w:name w:val="Subtitle"/>
    <w:basedOn w:val="593"/>
    <w:next w:val="593"/>
    <w:link w:val="617"/>
    <w:qFormat/>
    <w:uiPriority w:val="11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table" w:styleId="797" w:customStyle="1">
    <w:name w:val="StGen0"/>
    <w:basedOn w:val="769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798" w:customStyle="1">
    <w:name w:val="StGen1"/>
    <w:basedOn w:val="769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799" w:customStyle="1">
    <w:name w:val="StGen2"/>
    <w:basedOn w:val="769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800" w:customStyle="1">
    <w:name w:val="StGen3"/>
    <w:basedOn w:val="769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paragraph" w:styleId="801" w:customStyle="1">
    <w:name w:val="Default"/>
    <w:rPr>
      <w:rFonts w:ascii="Calibri" w:hAnsi="Calibri" w:cs="Calibri"/>
      <w:color w:val="000000"/>
    </w:rPr>
  </w:style>
  <w:style w:type="character" w:styleId="802" w:customStyle="1">
    <w:name w:val="docdata"/>
    <w:basedOn w:val="603"/>
  </w:style>
  <w:style w:type="paragraph" w:styleId="803" w:customStyle="1">
    <w:name w:val="1255"/>
    <w:basedOn w:val="593"/>
    <w:rPr>
      <w:b w:val="false"/>
    </w:rPr>
    <w:pPr>
      <w:spacing w:after="100" w:afterAutospacing="1" w:before="100" w:beforeAutospacing="1"/>
    </w:pPr>
  </w:style>
  <w:style w:type="paragraph" w:styleId="804" w:customStyle="1">
    <w:name w:val="1243"/>
    <w:basedOn w:val="593"/>
    <w:rPr>
      <w:b w:val="false"/>
    </w:rPr>
    <w:pPr>
      <w:spacing w:after="100" w:afterAutospacing="1" w:before="100" w:beforeAutospacing="1"/>
    </w:pPr>
  </w:style>
  <w:style w:type="paragraph" w:styleId="805" w:customStyle="1">
    <w:name w:val="1287"/>
    <w:basedOn w:val="593"/>
    <w:rPr>
      <w:b w:val="false"/>
    </w:rPr>
    <w:pPr>
      <w:spacing w:after="100" w:afterAutospacing="1" w:before="100" w:beforeAutospacing="1"/>
    </w:pPr>
  </w:style>
  <w:style w:type="paragraph" w:styleId="806" w:customStyle="1">
    <w:name w:val="2184"/>
    <w:basedOn w:val="593"/>
    <w:rPr>
      <w:b w:val="false"/>
    </w:rPr>
    <w:pPr>
      <w:spacing w:after="100" w:afterAutospacing="1" w:before="100" w:before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Mazzanti</dc:creator>
  <cp:lastModifiedBy>claudia.mazzanti</cp:lastModifiedBy>
  <cp:revision>13</cp:revision>
  <dcterms:created xsi:type="dcterms:W3CDTF">2021-05-03T13:20:00Z</dcterms:created>
  <dcterms:modified xsi:type="dcterms:W3CDTF">2021-12-24T09:44:29Z</dcterms:modified>
</cp:coreProperties>
</file>